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E87" w:rsidRPr="008327B1" w:rsidRDefault="00D31E87" w:rsidP="00D31E87">
      <w:pPr>
        <w:spacing w:line="360" w:lineRule="auto"/>
        <w:jc w:val="both"/>
        <w:rPr>
          <w:rFonts w:ascii="Palatino Linotype" w:hAnsi="Palatino Linotype"/>
          <w:b/>
          <w:color w:val="000000" w:themeColor="text1"/>
          <w:sz w:val="24"/>
          <w:szCs w:val="24"/>
        </w:rPr>
      </w:pPr>
      <w:r w:rsidRPr="008327B1">
        <w:rPr>
          <w:rFonts w:ascii="Palatino Linotype" w:hAnsi="Palatino Linotype"/>
          <w:b/>
          <w:color w:val="000000" w:themeColor="text1"/>
          <w:sz w:val="24"/>
          <w:szCs w:val="24"/>
        </w:rPr>
        <w:t xml:space="preserve">OPINIÓN PARTICULAR DEL COMISIONADO JOSÉ GUADALUPE LUNA HERNÁNDEZ EN EL RECURSO DE REVISIÓN </w:t>
      </w:r>
      <w:r w:rsidR="004C6821" w:rsidRPr="008327B1">
        <w:rPr>
          <w:rFonts w:ascii="Palatino Linotype" w:hAnsi="Palatino Linotype"/>
          <w:b/>
          <w:color w:val="000000" w:themeColor="text1"/>
          <w:sz w:val="24"/>
          <w:szCs w:val="24"/>
        </w:rPr>
        <w:t>02729/INFOEM/IP/RR/2018</w:t>
      </w:r>
      <w:r w:rsidRPr="008327B1">
        <w:rPr>
          <w:rFonts w:ascii="Palatino Linotype" w:hAnsi="Palatino Linotype"/>
          <w:b/>
          <w:color w:val="000000" w:themeColor="text1"/>
          <w:sz w:val="24"/>
          <w:szCs w:val="24"/>
        </w:rPr>
        <w:t>.</w:t>
      </w:r>
    </w:p>
    <w:p w:rsidR="00D31E87" w:rsidRPr="008327B1" w:rsidRDefault="00D31E87" w:rsidP="00D31E87">
      <w:pPr>
        <w:spacing w:line="360" w:lineRule="auto"/>
        <w:jc w:val="both"/>
        <w:rPr>
          <w:rFonts w:ascii="Palatino Linotype" w:hAnsi="Palatino Linotype"/>
          <w:color w:val="000000" w:themeColor="text1"/>
          <w:sz w:val="24"/>
          <w:szCs w:val="24"/>
        </w:rPr>
      </w:pPr>
    </w:p>
    <w:p w:rsidR="00D31E87" w:rsidRPr="008327B1" w:rsidRDefault="00D31E87" w:rsidP="00D31E87">
      <w:pPr>
        <w:spacing w:line="360" w:lineRule="auto"/>
        <w:jc w:val="both"/>
        <w:rPr>
          <w:rFonts w:ascii="Palatino Linotype" w:hAnsi="Palatino Linotype"/>
          <w:color w:val="000000" w:themeColor="text1"/>
          <w:sz w:val="24"/>
          <w:szCs w:val="24"/>
        </w:rPr>
      </w:pPr>
      <w:r w:rsidRPr="008327B1">
        <w:rPr>
          <w:rFonts w:ascii="Palatino Linotype" w:hAnsi="Palatino Linotype"/>
          <w:b/>
          <w:color w:val="000000" w:themeColor="text1"/>
          <w:sz w:val="24"/>
          <w:szCs w:val="24"/>
        </w:rPr>
        <w:t>Resumen de la opinión.</w:t>
      </w:r>
      <w:r w:rsidRPr="008327B1">
        <w:rPr>
          <w:rFonts w:ascii="Palatino Linotype" w:hAnsi="Palatino Linotype"/>
          <w:color w:val="000000" w:themeColor="text1"/>
          <w:sz w:val="24"/>
          <w:szCs w:val="24"/>
        </w:rPr>
        <w:t xml:space="preserve"> Se presenta una </w:t>
      </w:r>
      <w:r w:rsidR="004902EA" w:rsidRPr="008327B1">
        <w:rPr>
          <w:rFonts w:ascii="Palatino Linotype" w:hAnsi="Palatino Linotype"/>
          <w:color w:val="000000" w:themeColor="text1"/>
          <w:sz w:val="24"/>
          <w:szCs w:val="24"/>
        </w:rPr>
        <w:t xml:space="preserve">opinión particular, </w:t>
      </w:r>
      <w:r w:rsidR="00D17E43" w:rsidRPr="008327B1">
        <w:rPr>
          <w:rFonts w:ascii="Palatino Linotype" w:hAnsi="Palatino Linotype"/>
          <w:color w:val="000000" w:themeColor="text1"/>
          <w:sz w:val="24"/>
          <w:szCs w:val="24"/>
        </w:rPr>
        <w:t>relativo</w:t>
      </w:r>
      <w:r w:rsidR="004902EA" w:rsidRPr="008327B1">
        <w:rPr>
          <w:rFonts w:ascii="Palatino Linotype" w:hAnsi="Palatino Linotype"/>
          <w:color w:val="000000" w:themeColor="text1"/>
          <w:sz w:val="24"/>
          <w:szCs w:val="24"/>
        </w:rPr>
        <w:t xml:space="preserve"> a que la credencial para votar con fotografía, que se tiene a bien ordenar en versión pública</w:t>
      </w:r>
      <w:r w:rsidR="00E432FE" w:rsidRPr="008327B1">
        <w:rPr>
          <w:rFonts w:ascii="Palatino Linotype" w:hAnsi="Palatino Linotype"/>
          <w:color w:val="000000" w:themeColor="text1"/>
          <w:sz w:val="24"/>
          <w:szCs w:val="24"/>
        </w:rPr>
        <w:t>.</w:t>
      </w:r>
      <w:r w:rsidR="004902EA" w:rsidRPr="008327B1">
        <w:rPr>
          <w:rFonts w:ascii="Palatino Linotype" w:hAnsi="Palatino Linotype"/>
          <w:color w:val="000000" w:themeColor="text1"/>
          <w:sz w:val="24"/>
          <w:szCs w:val="24"/>
        </w:rPr>
        <w:t xml:space="preserve"> Contiene </w:t>
      </w:r>
      <w:r w:rsidR="00D17E43" w:rsidRPr="008327B1">
        <w:rPr>
          <w:rFonts w:ascii="Palatino Linotype" w:hAnsi="Palatino Linotype"/>
          <w:color w:val="000000" w:themeColor="text1"/>
          <w:sz w:val="24"/>
          <w:szCs w:val="24"/>
        </w:rPr>
        <w:t xml:space="preserve">dada su propia especial naturaleza, </w:t>
      </w:r>
      <w:r w:rsidR="004902EA" w:rsidRPr="008327B1">
        <w:rPr>
          <w:rFonts w:ascii="Palatino Linotype" w:hAnsi="Palatino Linotype"/>
          <w:color w:val="000000" w:themeColor="text1"/>
          <w:sz w:val="24"/>
          <w:szCs w:val="24"/>
        </w:rPr>
        <w:t>esencialmente datos personales; luego entonces, si se pretende con su ordenanza la de acreditar que el servidor público entrego ese documento al integrar su expediente personal, eso mismo se acredita con la clasificación del documento.</w:t>
      </w:r>
    </w:p>
    <w:p w:rsidR="005B563A" w:rsidRPr="008327B1" w:rsidRDefault="005B563A" w:rsidP="005B563A">
      <w:pPr>
        <w:spacing w:after="0" w:line="360" w:lineRule="auto"/>
        <w:jc w:val="center"/>
        <w:rPr>
          <w:rFonts w:ascii="Palatino Linotype" w:hAnsi="Palatino Linotype" w:cs="Arial"/>
          <w:b/>
          <w:color w:val="000000" w:themeColor="text1"/>
          <w:sz w:val="24"/>
          <w:szCs w:val="24"/>
        </w:rPr>
      </w:pPr>
    </w:p>
    <w:p w:rsidR="00D17E43" w:rsidRPr="008327B1" w:rsidRDefault="00D17E43" w:rsidP="005B563A">
      <w:pPr>
        <w:spacing w:after="0" w:line="360" w:lineRule="auto"/>
        <w:jc w:val="center"/>
        <w:rPr>
          <w:rFonts w:ascii="Palatino Linotype" w:hAnsi="Palatino Linotype" w:cs="Arial"/>
          <w:b/>
          <w:color w:val="000000" w:themeColor="text1"/>
          <w:sz w:val="24"/>
          <w:szCs w:val="24"/>
        </w:rPr>
      </w:pPr>
    </w:p>
    <w:p w:rsidR="005B563A" w:rsidRPr="008327B1" w:rsidRDefault="00010A7A" w:rsidP="005B563A">
      <w:pPr>
        <w:spacing w:after="0" w:line="360" w:lineRule="auto"/>
        <w:jc w:val="center"/>
        <w:rPr>
          <w:rFonts w:ascii="Palatino Linotype" w:hAnsi="Palatino Linotype" w:cs="Arial"/>
          <w:b/>
          <w:color w:val="000000" w:themeColor="text1"/>
          <w:sz w:val="24"/>
          <w:szCs w:val="24"/>
        </w:rPr>
      </w:pPr>
      <w:r w:rsidRPr="008327B1">
        <w:rPr>
          <w:rFonts w:ascii="Palatino Linotype" w:hAnsi="Palatino Linotype" w:cs="Arial"/>
          <w:b/>
          <w:color w:val="000000" w:themeColor="text1"/>
          <w:sz w:val="24"/>
          <w:szCs w:val="24"/>
        </w:rPr>
        <w:t>ÍNDICE</w:t>
      </w:r>
    </w:p>
    <w:p w:rsidR="005B563A" w:rsidRPr="008327B1" w:rsidRDefault="005B563A" w:rsidP="005B563A">
      <w:pPr>
        <w:spacing w:after="0" w:line="360" w:lineRule="auto"/>
        <w:jc w:val="both"/>
        <w:rPr>
          <w:rFonts w:ascii="Palatino Linotype" w:hAnsi="Palatino Linotype" w:cs="Arial"/>
          <w:b/>
          <w:color w:val="000000" w:themeColor="text1"/>
          <w:sz w:val="24"/>
          <w:szCs w:val="24"/>
        </w:rPr>
      </w:pPr>
    </w:p>
    <w:sdt>
      <w:sdtPr>
        <w:rPr>
          <w:color w:val="000000" w:themeColor="text1"/>
          <w:sz w:val="24"/>
          <w:szCs w:val="24"/>
          <w:lang w:val="es-ES"/>
        </w:rPr>
        <w:id w:val="-1625236335"/>
        <w:docPartObj>
          <w:docPartGallery w:val="Table of Contents"/>
          <w:docPartUnique/>
        </w:docPartObj>
      </w:sdtPr>
      <w:sdtEndPr>
        <w:rPr>
          <w:rFonts w:ascii="Palatino Linotype" w:hAnsi="Palatino Linotype"/>
          <w:b/>
          <w:bCs/>
        </w:rPr>
      </w:sdtEndPr>
      <w:sdtContent>
        <w:p w:rsidR="00D17E43" w:rsidRPr="008327B1" w:rsidRDefault="005B563A">
          <w:pPr>
            <w:pStyle w:val="TDC1"/>
            <w:rPr>
              <w:rFonts w:ascii="Palatino Linotype" w:eastAsiaTheme="minorEastAsia" w:hAnsi="Palatino Linotype"/>
              <w:noProof/>
              <w:sz w:val="24"/>
              <w:lang w:eastAsia="es-MX"/>
            </w:rPr>
          </w:pPr>
          <w:r w:rsidRPr="008327B1">
            <w:rPr>
              <w:rFonts w:ascii="Palatino Linotype" w:eastAsiaTheme="majorEastAsia" w:hAnsi="Palatino Linotype" w:cstheme="majorBidi"/>
              <w:color w:val="000000" w:themeColor="text1"/>
              <w:sz w:val="28"/>
              <w:szCs w:val="24"/>
              <w:lang w:eastAsia="es-MX"/>
            </w:rPr>
            <w:fldChar w:fldCharType="begin"/>
          </w:r>
          <w:r w:rsidRPr="008327B1">
            <w:rPr>
              <w:rFonts w:ascii="Palatino Linotype" w:hAnsi="Palatino Linotype"/>
              <w:color w:val="000000" w:themeColor="text1"/>
              <w:sz w:val="28"/>
              <w:szCs w:val="24"/>
            </w:rPr>
            <w:instrText xml:space="preserve"> TOC \o "1-3" \h \z \u </w:instrText>
          </w:r>
          <w:r w:rsidRPr="008327B1">
            <w:rPr>
              <w:rFonts w:ascii="Palatino Linotype" w:eastAsiaTheme="majorEastAsia" w:hAnsi="Palatino Linotype" w:cstheme="majorBidi"/>
              <w:color w:val="000000" w:themeColor="text1"/>
              <w:sz w:val="28"/>
              <w:szCs w:val="24"/>
              <w:lang w:eastAsia="es-MX"/>
            </w:rPr>
            <w:fldChar w:fldCharType="separate"/>
          </w:r>
          <w:hyperlink w:anchor="_Toc528595601" w:history="1">
            <w:r w:rsidR="00D17E43" w:rsidRPr="008327B1">
              <w:rPr>
                <w:rStyle w:val="Hipervnculo"/>
                <w:rFonts w:ascii="Palatino Linotype" w:hAnsi="Palatino Linotype"/>
                <w:b/>
                <w:noProof/>
                <w:sz w:val="24"/>
              </w:rPr>
              <w:t>I.</w:t>
            </w:r>
            <w:r w:rsidR="00D17E43" w:rsidRPr="008327B1">
              <w:rPr>
                <w:rFonts w:ascii="Palatino Linotype" w:eastAsiaTheme="minorEastAsia" w:hAnsi="Palatino Linotype"/>
                <w:noProof/>
                <w:sz w:val="24"/>
                <w:lang w:eastAsia="es-MX"/>
              </w:rPr>
              <w:tab/>
            </w:r>
            <w:r w:rsidR="00D17E43" w:rsidRPr="008327B1">
              <w:rPr>
                <w:rStyle w:val="Hipervnculo"/>
                <w:rFonts w:ascii="Palatino Linotype" w:hAnsi="Palatino Linotype"/>
                <w:b/>
                <w:noProof/>
                <w:sz w:val="24"/>
              </w:rPr>
              <w:t>Consideraciones Generales</w:t>
            </w:r>
            <w:r w:rsidR="00D17E43" w:rsidRPr="008327B1">
              <w:rPr>
                <w:rFonts w:ascii="Palatino Linotype" w:hAnsi="Palatino Linotype"/>
                <w:noProof/>
                <w:webHidden/>
                <w:sz w:val="24"/>
              </w:rPr>
              <w:tab/>
            </w:r>
            <w:r w:rsidR="00D17E43" w:rsidRPr="008327B1">
              <w:rPr>
                <w:rFonts w:ascii="Palatino Linotype" w:hAnsi="Palatino Linotype"/>
                <w:noProof/>
                <w:webHidden/>
                <w:sz w:val="24"/>
              </w:rPr>
              <w:fldChar w:fldCharType="begin"/>
            </w:r>
            <w:r w:rsidR="00D17E43" w:rsidRPr="008327B1">
              <w:rPr>
                <w:rFonts w:ascii="Palatino Linotype" w:hAnsi="Palatino Linotype"/>
                <w:noProof/>
                <w:webHidden/>
                <w:sz w:val="24"/>
              </w:rPr>
              <w:instrText xml:space="preserve"> PAGEREF _Toc528595601 \h </w:instrText>
            </w:r>
            <w:r w:rsidR="00D17E43" w:rsidRPr="008327B1">
              <w:rPr>
                <w:rFonts w:ascii="Palatino Linotype" w:hAnsi="Palatino Linotype"/>
                <w:noProof/>
                <w:webHidden/>
                <w:sz w:val="24"/>
              </w:rPr>
            </w:r>
            <w:r w:rsidR="00D17E43" w:rsidRPr="008327B1">
              <w:rPr>
                <w:rFonts w:ascii="Palatino Linotype" w:hAnsi="Palatino Linotype"/>
                <w:noProof/>
                <w:webHidden/>
                <w:sz w:val="24"/>
              </w:rPr>
              <w:fldChar w:fldCharType="separate"/>
            </w:r>
            <w:r w:rsidR="00786BC1">
              <w:rPr>
                <w:rFonts w:ascii="Palatino Linotype" w:hAnsi="Palatino Linotype"/>
                <w:noProof/>
                <w:webHidden/>
                <w:sz w:val="24"/>
              </w:rPr>
              <w:t>2</w:t>
            </w:r>
            <w:r w:rsidR="00D17E43" w:rsidRPr="008327B1">
              <w:rPr>
                <w:rFonts w:ascii="Palatino Linotype" w:hAnsi="Palatino Linotype"/>
                <w:noProof/>
                <w:webHidden/>
                <w:sz w:val="24"/>
              </w:rPr>
              <w:fldChar w:fldCharType="end"/>
            </w:r>
          </w:hyperlink>
        </w:p>
        <w:p w:rsidR="00D17E43" w:rsidRPr="008327B1" w:rsidRDefault="00D17E43">
          <w:pPr>
            <w:pStyle w:val="TDC1"/>
            <w:rPr>
              <w:rStyle w:val="Hipervnculo"/>
              <w:rFonts w:ascii="Palatino Linotype" w:hAnsi="Palatino Linotype"/>
              <w:noProof/>
              <w:sz w:val="24"/>
            </w:rPr>
          </w:pPr>
        </w:p>
        <w:p w:rsidR="00D17E43" w:rsidRPr="008327B1" w:rsidRDefault="004646EA">
          <w:pPr>
            <w:pStyle w:val="TDC1"/>
            <w:rPr>
              <w:rFonts w:ascii="Palatino Linotype" w:eastAsiaTheme="minorEastAsia" w:hAnsi="Palatino Linotype"/>
              <w:noProof/>
              <w:sz w:val="24"/>
              <w:lang w:eastAsia="es-MX"/>
            </w:rPr>
          </w:pPr>
          <w:hyperlink w:anchor="_Toc528595602" w:history="1">
            <w:r w:rsidR="00D17E43" w:rsidRPr="008327B1">
              <w:rPr>
                <w:rStyle w:val="Hipervnculo"/>
                <w:rFonts w:ascii="Palatino Linotype" w:hAnsi="Palatino Linotype"/>
                <w:b/>
                <w:noProof/>
                <w:sz w:val="24"/>
              </w:rPr>
              <w:t>II.</w:t>
            </w:r>
            <w:r w:rsidR="00D17E43" w:rsidRPr="008327B1">
              <w:rPr>
                <w:rFonts w:ascii="Palatino Linotype" w:eastAsiaTheme="minorEastAsia" w:hAnsi="Palatino Linotype"/>
                <w:noProof/>
                <w:sz w:val="24"/>
                <w:lang w:eastAsia="es-MX"/>
              </w:rPr>
              <w:tab/>
            </w:r>
            <w:r w:rsidR="00D17E43" w:rsidRPr="008327B1">
              <w:rPr>
                <w:rStyle w:val="Hipervnculo"/>
                <w:rFonts w:ascii="Palatino Linotype" w:hAnsi="Palatino Linotype"/>
                <w:b/>
                <w:noProof/>
                <w:sz w:val="24"/>
              </w:rPr>
              <w:t>La clasificación de la información, excluye la inexistencia.</w:t>
            </w:r>
            <w:r w:rsidR="00D17E43" w:rsidRPr="008327B1">
              <w:rPr>
                <w:rFonts w:ascii="Palatino Linotype" w:hAnsi="Palatino Linotype"/>
                <w:noProof/>
                <w:webHidden/>
                <w:sz w:val="24"/>
              </w:rPr>
              <w:tab/>
            </w:r>
            <w:r w:rsidR="00D17E43" w:rsidRPr="008327B1">
              <w:rPr>
                <w:rFonts w:ascii="Palatino Linotype" w:hAnsi="Palatino Linotype"/>
                <w:noProof/>
                <w:webHidden/>
                <w:sz w:val="24"/>
              </w:rPr>
              <w:fldChar w:fldCharType="begin"/>
            </w:r>
            <w:r w:rsidR="00D17E43" w:rsidRPr="008327B1">
              <w:rPr>
                <w:rFonts w:ascii="Palatino Linotype" w:hAnsi="Palatino Linotype"/>
                <w:noProof/>
                <w:webHidden/>
                <w:sz w:val="24"/>
              </w:rPr>
              <w:instrText xml:space="preserve"> PAGEREF _Toc528595602 \h </w:instrText>
            </w:r>
            <w:r w:rsidR="00D17E43" w:rsidRPr="008327B1">
              <w:rPr>
                <w:rFonts w:ascii="Palatino Linotype" w:hAnsi="Palatino Linotype"/>
                <w:noProof/>
                <w:webHidden/>
                <w:sz w:val="24"/>
              </w:rPr>
            </w:r>
            <w:r w:rsidR="00D17E43" w:rsidRPr="008327B1">
              <w:rPr>
                <w:rFonts w:ascii="Palatino Linotype" w:hAnsi="Palatino Linotype"/>
                <w:noProof/>
                <w:webHidden/>
                <w:sz w:val="24"/>
              </w:rPr>
              <w:fldChar w:fldCharType="separate"/>
            </w:r>
            <w:r w:rsidR="00786BC1">
              <w:rPr>
                <w:rFonts w:ascii="Palatino Linotype" w:hAnsi="Palatino Linotype"/>
                <w:noProof/>
                <w:webHidden/>
                <w:sz w:val="24"/>
              </w:rPr>
              <w:t>3</w:t>
            </w:r>
            <w:r w:rsidR="00D17E43" w:rsidRPr="008327B1">
              <w:rPr>
                <w:rFonts w:ascii="Palatino Linotype" w:hAnsi="Palatino Linotype"/>
                <w:noProof/>
                <w:webHidden/>
                <w:sz w:val="24"/>
              </w:rPr>
              <w:fldChar w:fldCharType="end"/>
            </w:r>
          </w:hyperlink>
        </w:p>
        <w:p w:rsidR="005B563A" w:rsidRPr="008327B1" w:rsidRDefault="00D17E43" w:rsidP="00774B2D">
          <w:pPr>
            <w:spacing w:line="480" w:lineRule="auto"/>
            <w:ind w:left="426" w:hanging="426"/>
            <w:rPr>
              <w:rFonts w:ascii="Palatino Linotype" w:hAnsi="Palatino Linotype"/>
              <w:color w:val="000000" w:themeColor="text1"/>
              <w:sz w:val="24"/>
              <w:szCs w:val="24"/>
            </w:rPr>
          </w:pPr>
          <w:r w:rsidRPr="008327B1">
            <w:rPr>
              <w:rFonts w:ascii="Palatino Linotype" w:hAnsi="Palatino Linotype"/>
              <w:noProof/>
              <w:color w:val="0563C1" w:themeColor="hyperlink"/>
              <w:sz w:val="24"/>
              <w:u w:val="single"/>
              <w:lang w:eastAsia="es-MX"/>
            </w:rPr>
            <mc:AlternateContent>
              <mc:Choice Requires="wps">
                <w:drawing>
                  <wp:anchor distT="0" distB="0" distL="114300" distR="114300" simplePos="0" relativeHeight="251659264" behindDoc="0" locked="0" layoutInCell="1" allowOverlap="1" wp14:anchorId="1321207A" wp14:editId="78E798A5">
                    <wp:simplePos x="0" y="0"/>
                    <wp:positionH relativeFrom="column">
                      <wp:posOffset>-6985</wp:posOffset>
                    </wp:positionH>
                    <wp:positionV relativeFrom="paragraph">
                      <wp:posOffset>266700</wp:posOffset>
                    </wp:positionV>
                    <wp:extent cx="5594350" cy="1765300"/>
                    <wp:effectExtent l="0" t="0" r="25400" b="25400"/>
                    <wp:wrapNone/>
                    <wp:docPr id="3" name="Conector recto 3"/>
                    <wp:cNvGraphicFramePr/>
                    <a:graphic xmlns:a="http://schemas.openxmlformats.org/drawingml/2006/main">
                      <a:graphicData uri="http://schemas.microsoft.com/office/word/2010/wordprocessingShape">
                        <wps:wsp>
                          <wps:cNvCnPr/>
                          <wps:spPr>
                            <a:xfrm>
                              <a:off x="0" y="0"/>
                              <a:ext cx="5594350" cy="176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DBE366"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1pt" to="439.9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" strokecolor="black [3200]" strokeweight=".5pt">
                    <v:stroke joinstyle="miter"/>
                  </v:line>
                </w:pict>
              </mc:Fallback>
            </mc:AlternateContent>
          </w:r>
          <w:r w:rsidR="005B563A" w:rsidRPr="008327B1">
            <w:rPr>
              <w:rFonts w:ascii="Palatino Linotype" w:hAnsi="Palatino Linotype"/>
              <w:b/>
              <w:bCs/>
              <w:color w:val="000000" w:themeColor="text1"/>
              <w:sz w:val="28"/>
              <w:szCs w:val="24"/>
              <w:lang w:val="es-ES"/>
            </w:rPr>
            <w:fldChar w:fldCharType="end"/>
          </w:r>
        </w:p>
      </w:sdtContent>
    </w:sdt>
    <w:p w:rsidR="00010A7A" w:rsidRPr="008327B1" w:rsidRDefault="00010A7A" w:rsidP="00010A7A">
      <w:pPr>
        <w:pStyle w:val="Ttulo1"/>
        <w:ind w:left="720"/>
        <w:rPr>
          <w:rFonts w:ascii="Palatino Linotype" w:hAnsi="Palatino Linotype"/>
          <w:b/>
          <w:color w:val="000000" w:themeColor="text1"/>
          <w:sz w:val="24"/>
          <w:szCs w:val="24"/>
        </w:rPr>
      </w:pPr>
    </w:p>
    <w:p w:rsidR="00010A7A" w:rsidRPr="008327B1" w:rsidRDefault="00010A7A" w:rsidP="00010A7A"/>
    <w:p w:rsidR="00010A7A" w:rsidRPr="008327B1" w:rsidRDefault="00010A7A" w:rsidP="00010A7A"/>
    <w:p w:rsidR="00010A7A" w:rsidRPr="008327B1" w:rsidRDefault="00010A7A" w:rsidP="00010A7A"/>
    <w:p w:rsidR="00D31E87" w:rsidRPr="008327B1" w:rsidRDefault="00D31E87" w:rsidP="005B563A">
      <w:pPr>
        <w:pStyle w:val="Ttulo1"/>
        <w:numPr>
          <w:ilvl w:val="0"/>
          <w:numId w:val="19"/>
        </w:numPr>
        <w:rPr>
          <w:rFonts w:ascii="Palatino Linotype" w:hAnsi="Palatino Linotype"/>
          <w:b/>
          <w:color w:val="000000" w:themeColor="text1"/>
          <w:sz w:val="24"/>
          <w:szCs w:val="24"/>
        </w:rPr>
      </w:pPr>
      <w:bookmarkStart w:id="0" w:name="_Toc528595601"/>
      <w:r w:rsidRPr="008327B1">
        <w:rPr>
          <w:rFonts w:ascii="Palatino Linotype" w:hAnsi="Palatino Linotype"/>
          <w:b/>
          <w:color w:val="000000" w:themeColor="text1"/>
          <w:sz w:val="24"/>
          <w:szCs w:val="24"/>
        </w:rPr>
        <w:lastRenderedPageBreak/>
        <w:t>Consideraciones Generales</w:t>
      </w:r>
      <w:bookmarkEnd w:id="0"/>
    </w:p>
    <w:p w:rsidR="00D31E87" w:rsidRPr="008327B1" w:rsidRDefault="00D31E87" w:rsidP="00D31E87">
      <w:pPr>
        <w:pStyle w:val="Prrafodelista"/>
        <w:spacing w:line="360" w:lineRule="auto"/>
        <w:ind w:left="1080"/>
        <w:jc w:val="both"/>
        <w:rPr>
          <w:rFonts w:ascii="Palatino Linotype" w:hAnsi="Palatino Linotype"/>
          <w:color w:val="000000" w:themeColor="text1"/>
          <w:sz w:val="24"/>
          <w:szCs w:val="24"/>
        </w:rPr>
      </w:pPr>
    </w:p>
    <w:p w:rsidR="00D31E87" w:rsidRPr="008327B1" w:rsidRDefault="00D31E87" w:rsidP="0032572C">
      <w:pPr>
        <w:pStyle w:val="Prrafodelista"/>
        <w:numPr>
          <w:ilvl w:val="0"/>
          <w:numId w:val="8"/>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 xml:space="preserve">He concurrido con mi opinión particular de la presente resolución emitida por el Pleno del Instituto de Transparencia, Acceso a la Información Pública y Protección de Datos Personales del Estado de México y Municipios, en su </w:t>
      </w:r>
      <w:r w:rsidR="004C6821" w:rsidRPr="008327B1">
        <w:rPr>
          <w:rFonts w:ascii="Palatino Linotype" w:hAnsi="Palatino Linotype"/>
          <w:color w:val="000000" w:themeColor="text1"/>
          <w:sz w:val="24"/>
          <w:szCs w:val="24"/>
        </w:rPr>
        <w:t>Trigésimo novena</w:t>
      </w:r>
      <w:r w:rsidRPr="008327B1">
        <w:rPr>
          <w:rFonts w:ascii="Palatino Linotype" w:hAnsi="Palatino Linotype"/>
          <w:color w:val="000000" w:themeColor="text1"/>
          <w:sz w:val="24"/>
          <w:szCs w:val="24"/>
        </w:rPr>
        <w:t xml:space="preserve"> sesión ordinaria de fecha </w:t>
      </w:r>
      <w:r w:rsidR="00516B40" w:rsidRPr="008327B1">
        <w:rPr>
          <w:rFonts w:ascii="Palatino Linotype" w:hAnsi="Palatino Linotype"/>
          <w:color w:val="000000" w:themeColor="text1"/>
          <w:sz w:val="24"/>
          <w:szCs w:val="24"/>
        </w:rPr>
        <w:t>veinti</w:t>
      </w:r>
      <w:r w:rsidR="004C6821" w:rsidRPr="008327B1">
        <w:rPr>
          <w:rFonts w:ascii="Palatino Linotype" w:hAnsi="Palatino Linotype"/>
          <w:color w:val="000000" w:themeColor="text1"/>
          <w:sz w:val="24"/>
          <w:szCs w:val="24"/>
        </w:rPr>
        <w:t>cuatro</w:t>
      </w:r>
      <w:r w:rsidRPr="008327B1">
        <w:rPr>
          <w:rFonts w:ascii="Palatino Linotype" w:hAnsi="Palatino Linotype"/>
          <w:color w:val="000000" w:themeColor="text1"/>
          <w:sz w:val="24"/>
          <w:szCs w:val="24"/>
        </w:rPr>
        <w:t xml:space="preserve"> </w:t>
      </w:r>
      <w:r w:rsidR="00A23FC2" w:rsidRPr="008327B1">
        <w:rPr>
          <w:rFonts w:ascii="Palatino Linotype" w:hAnsi="Palatino Linotype"/>
          <w:color w:val="000000" w:themeColor="text1"/>
          <w:sz w:val="24"/>
          <w:szCs w:val="24"/>
        </w:rPr>
        <w:t>(</w:t>
      </w:r>
      <w:r w:rsidR="001C572F" w:rsidRPr="008327B1">
        <w:rPr>
          <w:rFonts w:ascii="Palatino Linotype" w:hAnsi="Palatino Linotype"/>
          <w:color w:val="000000" w:themeColor="text1"/>
          <w:sz w:val="24"/>
          <w:szCs w:val="24"/>
        </w:rPr>
        <w:t>2</w:t>
      </w:r>
      <w:r w:rsidR="004C6821" w:rsidRPr="008327B1">
        <w:rPr>
          <w:rFonts w:ascii="Palatino Linotype" w:hAnsi="Palatino Linotype"/>
          <w:color w:val="000000" w:themeColor="text1"/>
          <w:sz w:val="24"/>
          <w:szCs w:val="24"/>
        </w:rPr>
        <w:t>4</w:t>
      </w:r>
      <w:r w:rsidR="00A23FC2" w:rsidRPr="008327B1">
        <w:rPr>
          <w:rFonts w:ascii="Palatino Linotype" w:hAnsi="Palatino Linotype"/>
          <w:color w:val="000000" w:themeColor="text1"/>
          <w:sz w:val="24"/>
          <w:szCs w:val="24"/>
        </w:rPr>
        <w:t xml:space="preserve">) </w:t>
      </w:r>
      <w:r w:rsidRPr="008327B1">
        <w:rPr>
          <w:rFonts w:ascii="Palatino Linotype" w:hAnsi="Palatino Linotype"/>
          <w:color w:val="000000" w:themeColor="text1"/>
          <w:sz w:val="24"/>
          <w:szCs w:val="24"/>
        </w:rPr>
        <w:t xml:space="preserve">de </w:t>
      </w:r>
      <w:r w:rsidR="004C6821" w:rsidRPr="008327B1">
        <w:rPr>
          <w:rFonts w:ascii="Palatino Linotype" w:hAnsi="Palatino Linotype"/>
          <w:color w:val="000000" w:themeColor="text1"/>
          <w:sz w:val="24"/>
          <w:szCs w:val="24"/>
        </w:rPr>
        <w:t>octubre</w:t>
      </w:r>
      <w:r w:rsidR="00516B40" w:rsidRPr="008327B1">
        <w:rPr>
          <w:rFonts w:ascii="Palatino Linotype" w:hAnsi="Palatino Linotype"/>
          <w:color w:val="000000" w:themeColor="text1"/>
          <w:sz w:val="24"/>
          <w:szCs w:val="24"/>
        </w:rPr>
        <w:t xml:space="preserve"> de dos mil dieciocho</w:t>
      </w:r>
      <w:r w:rsidRPr="008327B1">
        <w:rPr>
          <w:rFonts w:ascii="Palatino Linotype" w:hAnsi="Palatino Linotype"/>
          <w:color w:val="000000" w:themeColor="text1"/>
          <w:sz w:val="24"/>
          <w:szCs w:val="24"/>
        </w:rPr>
        <w:t xml:space="preserve"> promovido por </w:t>
      </w:r>
      <w:r w:rsidR="00826E92" w:rsidRPr="00826E92">
        <w:rPr>
          <w:rFonts w:ascii="Palatino Linotype" w:hAnsi="Palatino Linotype"/>
          <w:b/>
          <w:color w:val="000000" w:themeColor="text1"/>
          <w:sz w:val="24"/>
          <w:szCs w:val="24"/>
          <w:highlight w:val="black"/>
        </w:rPr>
        <w:t>-----------------------------------------------</w:t>
      </w:r>
      <w:r w:rsidR="007D6C6D" w:rsidRPr="008327B1">
        <w:rPr>
          <w:rFonts w:ascii="Palatino Linotype" w:hAnsi="Palatino Linotype"/>
          <w:b/>
          <w:color w:val="000000" w:themeColor="text1"/>
          <w:sz w:val="24"/>
          <w:szCs w:val="24"/>
        </w:rPr>
        <w:t xml:space="preserve"> </w:t>
      </w:r>
      <w:r w:rsidRPr="008327B1">
        <w:rPr>
          <w:rFonts w:ascii="Palatino Linotype" w:hAnsi="Palatino Linotype"/>
          <w:color w:val="000000" w:themeColor="text1"/>
          <w:sz w:val="24"/>
          <w:szCs w:val="24"/>
        </w:rPr>
        <w:t xml:space="preserve"> en contra de la respuesta de</w:t>
      </w:r>
      <w:r w:rsidR="0032572C" w:rsidRPr="008327B1">
        <w:rPr>
          <w:rFonts w:ascii="Palatino Linotype" w:hAnsi="Palatino Linotype"/>
          <w:color w:val="000000" w:themeColor="text1"/>
          <w:sz w:val="24"/>
          <w:szCs w:val="24"/>
        </w:rPr>
        <w:t>l</w:t>
      </w:r>
      <w:r w:rsidRPr="008327B1">
        <w:rPr>
          <w:rFonts w:ascii="Palatino Linotype" w:hAnsi="Palatino Linotype"/>
          <w:color w:val="000000" w:themeColor="text1"/>
          <w:sz w:val="24"/>
          <w:szCs w:val="24"/>
        </w:rPr>
        <w:t xml:space="preserve"> </w:t>
      </w:r>
      <w:r w:rsidR="007D6C6D" w:rsidRPr="008327B1">
        <w:rPr>
          <w:rFonts w:ascii="Palatino Linotype" w:hAnsi="Palatino Linotype"/>
          <w:b/>
          <w:color w:val="000000" w:themeColor="text1"/>
          <w:sz w:val="24"/>
          <w:szCs w:val="24"/>
        </w:rPr>
        <w:t>Ayuntamiento de Aculco</w:t>
      </w:r>
      <w:r w:rsidR="00934600" w:rsidRPr="008327B1">
        <w:rPr>
          <w:rFonts w:ascii="Palatino Linotype" w:hAnsi="Palatino Linotype"/>
          <w:color w:val="000000" w:themeColor="text1"/>
          <w:sz w:val="24"/>
          <w:szCs w:val="24"/>
        </w:rPr>
        <w:t xml:space="preserve"> </w:t>
      </w:r>
      <w:r w:rsidRPr="008327B1">
        <w:rPr>
          <w:rFonts w:ascii="Palatino Linotype" w:hAnsi="Palatino Linotype"/>
          <w:color w:val="000000" w:themeColor="text1"/>
          <w:sz w:val="24"/>
          <w:szCs w:val="24"/>
        </w:rPr>
        <w:t xml:space="preserve">procedimiento al que se le asignó el número de expediente </w:t>
      </w:r>
      <w:r w:rsidR="004C6821" w:rsidRPr="008327B1">
        <w:rPr>
          <w:rFonts w:ascii="Palatino Linotype" w:hAnsi="Palatino Linotype"/>
          <w:b/>
          <w:color w:val="000000" w:themeColor="text1"/>
          <w:sz w:val="24"/>
          <w:szCs w:val="24"/>
        </w:rPr>
        <w:t>02729/INFOEM/IP/RR/2018</w:t>
      </w:r>
      <w:r w:rsidRPr="008327B1">
        <w:rPr>
          <w:rFonts w:ascii="Palatino Linotype" w:hAnsi="Palatino Linotype"/>
          <w:color w:val="000000" w:themeColor="text1"/>
          <w:sz w:val="24"/>
          <w:szCs w:val="24"/>
        </w:rPr>
        <w:t>.</w:t>
      </w:r>
    </w:p>
    <w:p w:rsidR="00D31E87" w:rsidRPr="008327B1" w:rsidRDefault="00D31E87" w:rsidP="00D31E87">
      <w:pPr>
        <w:pStyle w:val="Prrafodelista"/>
        <w:spacing w:line="360" w:lineRule="auto"/>
        <w:ind w:left="360"/>
        <w:jc w:val="both"/>
        <w:rPr>
          <w:rFonts w:ascii="Palatino Linotype" w:hAnsi="Palatino Linotype"/>
          <w:color w:val="000000" w:themeColor="text1"/>
          <w:sz w:val="24"/>
          <w:szCs w:val="24"/>
        </w:rPr>
      </w:pPr>
    </w:p>
    <w:p w:rsidR="0032572C" w:rsidRPr="008327B1" w:rsidRDefault="00D31E87" w:rsidP="00D75A73">
      <w:pPr>
        <w:pStyle w:val="Prrafodelista"/>
        <w:numPr>
          <w:ilvl w:val="0"/>
          <w:numId w:val="16"/>
        </w:numPr>
        <w:spacing w:before="240" w:after="240" w:line="360" w:lineRule="auto"/>
        <w:ind w:left="284" w:hanging="284"/>
        <w:jc w:val="both"/>
        <w:rPr>
          <w:rFonts w:ascii="Palatino Linotype" w:hAnsi="Palatino Linotype"/>
          <w:color w:val="000000" w:themeColor="text1"/>
          <w:sz w:val="24"/>
          <w:szCs w:val="24"/>
          <w:lang w:eastAsia="es-MX"/>
        </w:rPr>
      </w:pPr>
      <w:r w:rsidRPr="008327B1">
        <w:rPr>
          <w:rFonts w:ascii="Palatino Linotype" w:hAnsi="Palatino Linotype"/>
          <w:color w:val="000000" w:themeColor="text1"/>
          <w:sz w:val="24"/>
          <w:szCs w:val="24"/>
        </w:rPr>
        <w:t xml:space="preserve">La resolución determina </w:t>
      </w:r>
      <w:r w:rsidR="0032572C" w:rsidRPr="008327B1">
        <w:rPr>
          <w:rFonts w:ascii="Palatino Linotype" w:hAnsi="Palatino Linotype" w:cs="Arial"/>
          <w:color w:val="000000" w:themeColor="text1"/>
          <w:sz w:val="24"/>
          <w:szCs w:val="24"/>
        </w:rPr>
        <w:t>ordenar</w:t>
      </w:r>
      <w:r w:rsidR="0032572C" w:rsidRPr="008327B1">
        <w:rPr>
          <w:rFonts w:ascii="Palatino Linotype" w:hAnsi="Palatino Linotype" w:cs="Arial"/>
          <w:b/>
          <w:color w:val="000000" w:themeColor="text1"/>
          <w:sz w:val="24"/>
          <w:szCs w:val="24"/>
        </w:rPr>
        <w:t xml:space="preserve"> </w:t>
      </w:r>
      <w:r w:rsidR="007D6C6D" w:rsidRPr="008327B1">
        <w:rPr>
          <w:rFonts w:ascii="Palatino Linotype" w:hAnsi="Palatino Linotype" w:cs="Arial"/>
          <w:color w:val="000000" w:themeColor="text1"/>
          <w:sz w:val="24"/>
          <w:szCs w:val="24"/>
        </w:rPr>
        <w:t>diverso soporte documental</w:t>
      </w:r>
      <w:r w:rsidR="007D6C6D" w:rsidRPr="008327B1">
        <w:rPr>
          <w:rFonts w:ascii="Palatino Linotype" w:hAnsi="Palatino Linotype" w:cs="Arial"/>
          <w:b/>
          <w:color w:val="000000" w:themeColor="text1"/>
          <w:sz w:val="24"/>
          <w:szCs w:val="24"/>
        </w:rPr>
        <w:t xml:space="preserve"> </w:t>
      </w:r>
      <w:r w:rsidR="0032572C" w:rsidRPr="008327B1">
        <w:rPr>
          <w:rFonts w:ascii="Palatino Linotype" w:hAnsi="Palatino Linotype" w:cs="Arial"/>
          <w:color w:val="000000" w:themeColor="text1"/>
          <w:sz w:val="24"/>
          <w:szCs w:val="24"/>
        </w:rPr>
        <w:t xml:space="preserve">al </w:t>
      </w:r>
      <w:r w:rsidR="0032572C" w:rsidRPr="008327B1">
        <w:rPr>
          <w:rFonts w:ascii="Palatino Linotype" w:eastAsia="Times New Roman" w:hAnsi="Palatino Linotype" w:cs="Arial"/>
          <w:color w:val="000000" w:themeColor="text1"/>
          <w:sz w:val="24"/>
          <w:szCs w:val="24"/>
        </w:rPr>
        <w:t>Sujeto Obligado</w:t>
      </w:r>
      <w:r w:rsidR="007D6C6D" w:rsidRPr="008327B1">
        <w:rPr>
          <w:rFonts w:ascii="Palatino Linotype" w:eastAsia="Times New Roman" w:hAnsi="Palatino Linotype" w:cs="Arial"/>
          <w:color w:val="000000" w:themeColor="text1"/>
          <w:sz w:val="24"/>
          <w:szCs w:val="24"/>
        </w:rPr>
        <w:t xml:space="preserve"> </w:t>
      </w:r>
      <w:r w:rsidR="007D6C6D" w:rsidRPr="008327B1">
        <w:rPr>
          <w:rFonts w:ascii="Palatino Linotype" w:hAnsi="Palatino Linotype"/>
          <w:b/>
          <w:color w:val="000000" w:themeColor="text1"/>
          <w:sz w:val="24"/>
          <w:szCs w:val="24"/>
        </w:rPr>
        <w:t>Ayuntamiento de Aculco</w:t>
      </w:r>
      <w:r w:rsidR="0032572C" w:rsidRPr="008327B1">
        <w:rPr>
          <w:rFonts w:ascii="Palatino Linotype" w:eastAsia="Times New Roman" w:hAnsi="Palatino Linotype" w:cs="Arial"/>
          <w:color w:val="000000" w:themeColor="text1"/>
          <w:sz w:val="24"/>
          <w:szCs w:val="24"/>
        </w:rPr>
        <w:t xml:space="preserve">, </w:t>
      </w:r>
      <w:r w:rsidR="007D6C6D" w:rsidRPr="008327B1">
        <w:rPr>
          <w:rFonts w:ascii="Palatino Linotype" w:eastAsia="Times New Roman" w:hAnsi="Palatino Linotype" w:cs="Arial"/>
          <w:color w:val="000000" w:themeColor="text1"/>
          <w:sz w:val="24"/>
          <w:szCs w:val="24"/>
        </w:rPr>
        <w:t xml:space="preserve">a efecto de que sea </w:t>
      </w:r>
      <w:r w:rsidR="0032572C" w:rsidRPr="008327B1">
        <w:rPr>
          <w:rFonts w:ascii="Palatino Linotype" w:hAnsi="Palatino Linotype" w:cs="Arial"/>
          <w:color w:val="000000" w:themeColor="text1"/>
          <w:sz w:val="24"/>
          <w:szCs w:val="24"/>
        </w:rPr>
        <w:t>entrega</w:t>
      </w:r>
      <w:r w:rsidR="007D6C6D" w:rsidRPr="008327B1">
        <w:rPr>
          <w:rFonts w:ascii="Palatino Linotype" w:hAnsi="Palatino Linotype" w:cs="Arial"/>
          <w:color w:val="000000" w:themeColor="text1"/>
          <w:sz w:val="24"/>
          <w:szCs w:val="24"/>
        </w:rPr>
        <w:t>da</w:t>
      </w:r>
      <w:r w:rsidR="007F7D44" w:rsidRPr="008327B1">
        <w:rPr>
          <w:rFonts w:ascii="Palatino Linotype" w:hAnsi="Palatino Linotype" w:cs="Arial"/>
          <w:color w:val="000000" w:themeColor="text1"/>
          <w:sz w:val="24"/>
          <w:szCs w:val="24"/>
        </w:rPr>
        <w:t>,</w:t>
      </w:r>
      <w:r w:rsidR="00010A7A" w:rsidRPr="008327B1">
        <w:rPr>
          <w:rFonts w:ascii="Palatino Linotype" w:hAnsi="Palatino Linotype" w:cs="Arial"/>
          <w:color w:val="000000" w:themeColor="text1"/>
          <w:sz w:val="24"/>
          <w:szCs w:val="24"/>
        </w:rPr>
        <w:t xml:space="preserve"> </w:t>
      </w:r>
      <w:r w:rsidR="007D6C6D" w:rsidRPr="008327B1">
        <w:rPr>
          <w:rFonts w:ascii="Palatino Linotype" w:hAnsi="Palatino Linotype" w:cs="Arial"/>
          <w:color w:val="000000" w:themeColor="text1"/>
          <w:sz w:val="24"/>
          <w:szCs w:val="24"/>
        </w:rPr>
        <w:t xml:space="preserve">de ser el caso en </w:t>
      </w:r>
      <w:r w:rsidR="00010A7A" w:rsidRPr="008327B1">
        <w:rPr>
          <w:rFonts w:ascii="Palatino Linotype" w:hAnsi="Palatino Linotype" w:cs="Arial"/>
          <w:color w:val="000000" w:themeColor="text1"/>
          <w:sz w:val="24"/>
          <w:szCs w:val="24"/>
        </w:rPr>
        <w:t xml:space="preserve">versión pública </w:t>
      </w:r>
      <w:r w:rsidR="004902EA" w:rsidRPr="008327B1">
        <w:rPr>
          <w:rFonts w:ascii="Palatino Linotype" w:hAnsi="Palatino Linotype" w:cs="Arial"/>
          <w:color w:val="000000" w:themeColor="text1"/>
          <w:sz w:val="24"/>
          <w:szCs w:val="24"/>
        </w:rPr>
        <w:t>a través del SAIMEX.</w:t>
      </w:r>
    </w:p>
    <w:p w:rsidR="001C572F" w:rsidRPr="008327B1" w:rsidRDefault="001C572F" w:rsidP="001C572F">
      <w:pPr>
        <w:pStyle w:val="Prrafodelista"/>
        <w:spacing w:before="240" w:after="240" w:line="360" w:lineRule="auto"/>
        <w:ind w:left="284"/>
        <w:jc w:val="both"/>
        <w:rPr>
          <w:rFonts w:ascii="Palatino Linotype" w:hAnsi="Palatino Linotype"/>
          <w:color w:val="000000" w:themeColor="text1"/>
          <w:sz w:val="24"/>
          <w:szCs w:val="24"/>
          <w:lang w:eastAsia="es-MX"/>
        </w:rPr>
      </w:pPr>
    </w:p>
    <w:p w:rsidR="00174AF8" w:rsidRPr="008327B1" w:rsidRDefault="00D62D08" w:rsidP="00010A7A">
      <w:pPr>
        <w:pStyle w:val="Prrafodelista"/>
        <w:numPr>
          <w:ilvl w:val="0"/>
          <w:numId w:val="17"/>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Y si bien es cierto estoy de acuerdo en el sentido en que se re</w:t>
      </w:r>
      <w:r w:rsidR="00010A7A" w:rsidRPr="008327B1">
        <w:rPr>
          <w:rFonts w:ascii="Palatino Linotype" w:hAnsi="Palatino Linotype"/>
          <w:color w:val="000000" w:themeColor="text1"/>
          <w:sz w:val="24"/>
          <w:szCs w:val="24"/>
        </w:rPr>
        <w:t xml:space="preserve">suelve el recurso de mérito; también lo es que </w:t>
      </w:r>
      <w:r w:rsidR="004902EA" w:rsidRPr="008327B1">
        <w:rPr>
          <w:rFonts w:ascii="Palatino Linotype" w:hAnsi="Palatino Linotype"/>
          <w:color w:val="000000" w:themeColor="text1"/>
          <w:sz w:val="24"/>
          <w:szCs w:val="24"/>
        </w:rPr>
        <w:t>considero</w:t>
      </w:r>
      <w:r w:rsidRPr="008327B1">
        <w:rPr>
          <w:rFonts w:ascii="Palatino Linotype" w:hAnsi="Palatino Linotype"/>
          <w:color w:val="000000" w:themeColor="text1"/>
          <w:sz w:val="24"/>
          <w:szCs w:val="24"/>
        </w:rPr>
        <w:t xml:space="preserve"> dable </w:t>
      </w:r>
      <w:r w:rsidR="004902EA" w:rsidRPr="008327B1">
        <w:rPr>
          <w:rFonts w:ascii="Palatino Linotype" w:hAnsi="Palatino Linotype"/>
          <w:color w:val="000000" w:themeColor="text1"/>
          <w:sz w:val="24"/>
          <w:szCs w:val="24"/>
        </w:rPr>
        <w:t>puntualizar,</w:t>
      </w:r>
      <w:r w:rsidRPr="008327B1">
        <w:rPr>
          <w:rFonts w:ascii="Palatino Linotype" w:hAnsi="Palatino Linotype"/>
          <w:color w:val="000000" w:themeColor="text1"/>
          <w:sz w:val="24"/>
          <w:szCs w:val="24"/>
        </w:rPr>
        <w:t xml:space="preserve"> en l</w:t>
      </w:r>
      <w:r w:rsidR="00516B40" w:rsidRPr="008327B1">
        <w:rPr>
          <w:rFonts w:ascii="Palatino Linotype" w:hAnsi="Palatino Linotype"/>
          <w:color w:val="000000" w:themeColor="text1"/>
          <w:sz w:val="24"/>
          <w:szCs w:val="24"/>
        </w:rPr>
        <w:t xml:space="preserve">o </w:t>
      </w:r>
      <w:r w:rsidR="00174AF8" w:rsidRPr="008327B1">
        <w:rPr>
          <w:rFonts w:ascii="Palatino Linotype" w:hAnsi="Palatino Linotype"/>
          <w:color w:val="000000" w:themeColor="text1"/>
          <w:sz w:val="24"/>
          <w:szCs w:val="24"/>
        </w:rPr>
        <w:t>concerniente al punto siguiente:</w:t>
      </w:r>
    </w:p>
    <w:p w:rsidR="004902EA" w:rsidRPr="008327B1" w:rsidRDefault="004902EA" w:rsidP="00174AF8">
      <w:pPr>
        <w:pStyle w:val="Prrafodelista"/>
        <w:spacing w:line="360" w:lineRule="auto"/>
        <w:ind w:left="993"/>
        <w:jc w:val="both"/>
        <w:rPr>
          <w:rFonts w:ascii="Palatino Linotype" w:hAnsi="Palatino Linotype"/>
          <w:i/>
          <w:color w:val="000000" w:themeColor="text1"/>
          <w:sz w:val="24"/>
          <w:szCs w:val="24"/>
        </w:rPr>
      </w:pPr>
    </w:p>
    <w:p w:rsidR="00174AF8" w:rsidRPr="008327B1" w:rsidRDefault="00174AF8" w:rsidP="00174AF8">
      <w:pPr>
        <w:pStyle w:val="Prrafodelista"/>
        <w:spacing w:line="360" w:lineRule="auto"/>
        <w:ind w:left="993"/>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“Versión pública de los documentos que consten en el expediente laboral:</w:t>
      </w:r>
    </w:p>
    <w:p w:rsidR="00174AF8" w:rsidRPr="008327B1" w:rsidRDefault="00174AF8" w:rsidP="00174AF8">
      <w:pPr>
        <w:pStyle w:val="Prrafodelista"/>
        <w:spacing w:line="360" w:lineRule="auto"/>
        <w:ind w:left="993"/>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w:t>
      </w:r>
    </w:p>
    <w:p w:rsidR="00174AF8" w:rsidRPr="008327B1" w:rsidRDefault="00174AF8" w:rsidP="00174AF8">
      <w:pPr>
        <w:pStyle w:val="Prrafodelista"/>
        <w:spacing w:line="360" w:lineRule="auto"/>
        <w:ind w:left="993"/>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e) Credencial para votar con fotografía”</w:t>
      </w:r>
    </w:p>
    <w:p w:rsidR="00174AF8" w:rsidRPr="008327B1" w:rsidRDefault="00174AF8" w:rsidP="00174AF8">
      <w:pPr>
        <w:pStyle w:val="Prrafodelista"/>
        <w:spacing w:line="360" w:lineRule="auto"/>
        <w:ind w:left="360"/>
        <w:jc w:val="both"/>
        <w:rPr>
          <w:rFonts w:ascii="Palatino Linotype" w:hAnsi="Palatino Linotype"/>
          <w:color w:val="000000" w:themeColor="text1"/>
          <w:sz w:val="24"/>
          <w:szCs w:val="24"/>
        </w:rPr>
      </w:pPr>
    </w:p>
    <w:p w:rsidR="00D31E87" w:rsidRPr="008327B1" w:rsidRDefault="00D31E87" w:rsidP="00010A7A">
      <w:pPr>
        <w:pStyle w:val="Prrafodelista"/>
        <w:numPr>
          <w:ilvl w:val="0"/>
          <w:numId w:val="17"/>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lastRenderedPageBreak/>
        <w:t>Por tal motivo y en términos de lo señalado por el artículo 14 fracción XI del Reglamento Interior del Instituto de Transparencia y Acceso a la Información Pública del Estado de México y Municipios formulo la presente opinión particular.</w:t>
      </w:r>
    </w:p>
    <w:p w:rsidR="001C572F" w:rsidRPr="008327B1" w:rsidRDefault="001C572F" w:rsidP="001C572F">
      <w:pPr>
        <w:pStyle w:val="Prrafodelista"/>
        <w:spacing w:line="360" w:lineRule="auto"/>
        <w:ind w:left="360"/>
        <w:jc w:val="both"/>
        <w:rPr>
          <w:rFonts w:ascii="Palatino Linotype" w:hAnsi="Palatino Linotype"/>
          <w:color w:val="000000" w:themeColor="text1"/>
          <w:sz w:val="24"/>
          <w:szCs w:val="24"/>
        </w:rPr>
      </w:pPr>
    </w:p>
    <w:p w:rsidR="00D31E87" w:rsidRPr="008327B1" w:rsidRDefault="004902EA" w:rsidP="005B563A">
      <w:pPr>
        <w:pStyle w:val="Ttulo1"/>
        <w:numPr>
          <w:ilvl w:val="0"/>
          <w:numId w:val="19"/>
        </w:numPr>
        <w:rPr>
          <w:rFonts w:ascii="Palatino Linotype" w:hAnsi="Palatino Linotype"/>
          <w:b/>
          <w:color w:val="000000" w:themeColor="text1"/>
          <w:sz w:val="24"/>
          <w:szCs w:val="24"/>
        </w:rPr>
      </w:pPr>
      <w:bookmarkStart w:id="1" w:name="_Toc528595602"/>
      <w:r w:rsidRPr="008327B1">
        <w:rPr>
          <w:rFonts w:ascii="Palatino Linotype" w:hAnsi="Palatino Linotype"/>
          <w:b/>
          <w:color w:val="000000" w:themeColor="text1"/>
          <w:sz w:val="24"/>
          <w:szCs w:val="24"/>
        </w:rPr>
        <w:t>La clasificación de la información, excluye la inexistencia</w:t>
      </w:r>
      <w:r w:rsidR="00A72E20" w:rsidRPr="008327B1">
        <w:rPr>
          <w:rFonts w:ascii="Palatino Linotype" w:hAnsi="Palatino Linotype"/>
          <w:b/>
          <w:color w:val="000000" w:themeColor="text1"/>
          <w:sz w:val="24"/>
          <w:szCs w:val="24"/>
        </w:rPr>
        <w:t>.</w:t>
      </w:r>
      <w:bookmarkEnd w:id="1"/>
    </w:p>
    <w:p w:rsidR="00D31E87" w:rsidRPr="008327B1" w:rsidRDefault="00D31E87" w:rsidP="00D31E87">
      <w:pPr>
        <w:pStyle w:val="Prrafodelista"/>
        <w:spacing w:line="360" w:lineRule="auto"/>
        <w:ind w:left="1080"/>
        <w:jc w:val="both"/>
        <w:rPr>
          <w:rFonts w:ascii="Palatino Linotype" w:hAnsi="Palatino Linotype"/>
          <w:b/>
          <w:color w:val="000000" w:themeColor="text1"/>
          <w:sz w:val="24"/>
          <w:szCs w:val="24"/>
        </w:rPr>
      </w:pPr>
    </w:p>
    <w:p w:rsidR="000E72BE" w:rsidRPr="008327B1" w:rsidRDefault="00294356" w:rsidP="002A5659">
      <w:pPr>
        <w:pStyle w:val="Prrafodelista"/>
        <w:numPr>
          <w:ilvl w:val="0"/>
          <w:numId w:val="17"/>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Mi opinión particular se deriva de un hecho de especial importancia</w:t>
      </w:r>
      <w:r w:rsidR="002A5659" w:rsidRPr="008327B1">
        <w:rPr>
          <w:rFonts w:ascii="Palatino Linotype" w:hAnsi="Palatino Linotype"/>
          <w:color w:val="000000" w:themeColor="text1"/>
          <w:sz w:val="24"/>
          <w:szCs w:val="24"/>
        </w:rPr>
        <w:t>, ya que si bien se está ordenando versión pública</w:t>
      </w:r>
      <w:r w:rsidR="007F7D44" w:rsidRPr="008327B1">
        <w:rPr>
          <w:rFonts w:ascii="Palatino Linotype" w:hAnsi="Palatino Linotype"/>
          <w:color w:val="000000" w:themeColor="text1"/>
          <w:sz w:val="24"/>
          <w:szCs w:val="24"/>
        </w:rPr>
        <w:t xml:space="preserve"> la credencial para votar con fotografía</w:t>
      </w:r>
      <w:r w:rsidR="002A5659" w:rsidRPr="008327B1">
        <w:rPr>
          <w:rFonts w:ascii="Palatino Linotype" w:hAnsi="Palatino Linotype"/>
          <w:color w:val="000000" w:themeColor="text1"/>
          <w:sz w:val="24"/>
          <w:szCs w:val="24"/>
        </w:rPr>
        <w:t xml:space="preserve">, creo que </w:t>
      </w:r>
      <w:r w:rsidR="004902EA" w:rsidRPr="008327B1">
        <w:rPr>
          <w:rFonts w:ascii="Palatino Linotype" w:hAnsi="Palatino Linotype"/>
          <w:color w:val="000000" w:themeColor="text1"/>
          <w:sz w:val="24"/>
          <w:szCs w:val="24"/>
        </w:rPr>
        <w:t xml:space="preserve">está dada su propia y especial naturaleza, </w:t>
      </w:r>
      <w:r w:rsidR="002A5659" w:rsidRPr="008327B1">
        <w:rPr>
          <w:rFonts w:ascii="Palatino Linotype" w:hAnsi="Palatino Linotype"/>
          <w:color w:val="000000" w:themeColor="text1"/>
          <w:sz w:val="24"/>
          <w:szCs w:val="24"/>
        </w:rPr>
        <w:t>contiene esencialmente datos personales. Entonces, si se pretende acreditar que el servidor público de referencia, cuenta y entregó ese documento para ser integrado a su expediente personal, eso mismo se acredita con la clasificación del documento. Ya que bajo el Criterio 2</w:t>
      </w:r>
      <w:r w:rsidR="005024B9" w:rsidRPr="008327B1">
        <w:rPr>
          <w:rFonts w:ascii="Palatino Linotype" w:hAnsi="Palatino Linotype"/>
          <w:color w:val="000000" w:themeColor="text1"/>
          <w:sz w:val="24"/>
          <w:szCs w:val="24"/>
        </w:rPr>
        <w:t>9</w:t>
      </w:r>
      <w:r w:rsidR="002A5659" w:rsidRPr="008327B1">
        <w:rPr>
          <w:rFonts w:ascii="Palatino Linotype" w:hAnsi="Palatino Linotype"/>
          <w:color w:val="000000" w:themeColor="text1"/>
          <w:sz w:val="24"/>
          <w:szCs w:val="24"/>
        </w:rPr>
        <w:t>/1</w:t>
      </w:r>
      <w:r w:rsidR="005024B9" w:rsidRPr="008327B1">
        <w:rPr>
          <w:rFonts w:ascii="Palatino Linotype" w:hAnsi="Palatino Linotype"/>
          <w:color w:val="000000" w:themeColor="text1"/>
          <w:sz w:val="24"/>
          <w:szCs w:val="24"/>
        </w:rPr>
        <w:t>0</w:t>
      </w:r>
      <w:r w:rsidR="002A5659" w:rsidRPr="008327B1">
        <w:rPr>
          <w:rFonts w:ascii="Palatino Linotype" w:hAnsi="Palatino Linotype"/>
          <w:color w:val="000000" w:themeColor="text1"/>
          <w:sz w:val="24"/>
          <w:szCs w:val="24"/>
        </w:rPr>
        <w:t xml:space="preserve"> emitido</w:t>
      </w:r>
      <w:r w:rsidR="005024B9" w:rsidRPr="008327B1">
        <w:rPr>
          <w:rFonts w:ascii="Palatino Linotype" w:hAnsi="Palatino Linotype"/>
          <w:color w:val="000000" w:themeColor="text1"/>
          <w:sz w:val="24"/>
          <w:szCs w:val="24"/>
        </w:rPr>
        <w:t xml:space="preserve"> </w:t>
      </w:r>
      <w:r w:rsidR="007F7D44" w:rsidRPr="008327B1">
        <w:rPr>
          <w:rFonts w:ascii="Palatino Linotype" w:hAnsi="Palatino Linotype"/>
          <w:color w:val="000000" w:themeColor="text1"/>
          <w:sz w:val="24"/>
          <w:szCs w:val="24"/>
        </w:rPr>
        <w:t xml:space="preserve">por </w:t>
      </w:r>
      <w:r w:rsidR="005024B9" w:rsidRPr="008327B1">
        <w:rPr>
          <w:rFonts w:ascii="Palatino Linotype" w:hAnsi="Palatino Linotype"/>
          <w:color w:val="000000" w:themeColor="text1"/>
          <w:sz w:val="24"/>
          <w:szCs w:val="24"/>
        </w:rPr>
        <w:t>el entonces IFAI, hoy</w:t>
      </w:r>
      <w:r w:rsidR="002A5659" w:rsidRPr="008327B1">
        <w:rPr>
          <w:rFonts w:ascii="Palatino Linotype" w:hAnsi="Palatino Linotype"/>
          <w:color w:val="000000" w:themeColor="text1"/>
          <w:sz w:val="24"/>
          <w:szCs w:val="24"/>
        </w:rPr>
        <w:t xml:space="preserve"> Instituto Nacional de Transparencia, Acceso a la Información y Protección de Datos Personales, la clasificación es una condición de la información existente y excluye la inexistencia, como se observa:</w:t>
      </w:r>
    </w:p>
    <w:p w:rsidR="002A5659" w:rsidRPr="008327B1" w:rsidRDefault="002A5659" w:rsidP="002A5659">
      <w:pPr>
        <w:pStyle w:val="Prrafodelista"/>
        <w:spacing w:line="360" w:lineRule="auto"/>
        <w:ind w:left="360"/>
        <w:jc w:val="both"/>
        <w:rPr>
          <w:rFonts w:ascii="Palatino Linotype" w:hAnsi="Palatino Linotype"/>
          <w:color w:val="000000" w:themeColor="text1"/>
          <w:sz w:val="24"/>
          <w:szCs w:val="24"/>
        </w:rPr>
      </w:pPr>
    </w:p>
    <w:p w:rsidR="002A5659" w:rsidRPr="008327B1" w:rsidRDefault="005024B9" w:rsidP="002A5659">
      <w:pPr>
        <w:pStyle w:val="Prrafodelista"/>
        <w:spacing w:line="360" w:lineRule="auto"/>
        <w:ind w:left="851" w:right="900"/>
        <w:jc w:val="both"/>
        <w:rPr>
          <w:rFonts w:ascii="Palatino Linotype" w:hAnsi="Palatino Linotype"/>
          <w:color w:val="000000" w:themeColor="text1"/>
          <w:sz w:val="24"/>
          <w:szCs w:val="24"/>
        </w:rPr>
      </w:pPr>
      <w:r w:rsidRPr="008327B1">
        <w:rPr>
          <w:rFonts w:ascii="Palatino Linotype" w:hAnsi="Palatino Linotype"/>
          <w:b/>
          <w:color w:val="000000" w:themeColor="text1"/>
          <w:sz w:val="24"/>
          <w:szCs w:val="24"/>
        </w:rPr>
        <w:t>La clasificación y la inexistencia de información son conceptos que no pueden coexistir.</w:t>
      </w:r>
      <w:r w:rsidRPr="008327B1">
        <w:rPr>
          <w:rFonts w:ascii="Palatino Linotype" w:hAnsi="Palatino Linotype"/>
          <w:color w:val="000000" w:themeColor="text1"/>
          <w:sz w:val="24"/>
          <w:szCs w:val="24"/>
        </w:rPr>
        <w:t xml:space="preserve"> La inexistencia implica necesariamente que la información no se encuentra en los archivos de la autoridad, no obstante que la dependencia o entidad cuente con facultades </w:t>
      </w:r>
      <w:r w:rsidRPr="008327B1">
        <w:rPr>
          <w:rFonts w:ascii="Palatino Linotype" w:hAnsi="Palatino Linotype"/>
          <w:color w:val="000000" w:themeColor="text1"/>
          <w:sz w:val="24"/>
          <w:szCs w:val="24"/>
        </w:rPr>
        <w:lastRenderedPageBreak/>
        <w:t>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2A5659" w:rsidRPr="008327B1" w:rsidRDefault="002A5659" w:rsidP="002A5659">
      <w:pPr>
        <w:pStyle w:val="Prrafodelista"/>
        <w:spacing w:line="360" w:lineRule="auto"/>
        <w:ind w:left="851" w:right="900"/>
        <w:jc w:val="both"/>
        <w:rPr>
          <w:rFonts w:ascii="Palatino Linotype" w:hAnsi="Palatino Linotype"/>
          <w:color w:val="000000" w:themeColor="text1"/>
          <w:sz w:val="24"/>
          <w:szCs w:val="24"/>
        </w:rPr>
      </w:pPr>
    </w:p>
    <w:p w:rsidR="005024B9" w:rsidRPr="008327B1" w:rsidRDefault="005024B9" w:rsidP="005024B9">
      <w:pPr>
        <w:pStyle w:val="Prrafodelista"/>
        <w:spacing w:line="360" w:lineRule="auto"/>
        <w:ind w:left="851" w:right="900"/>
        <w:jc w:val="both"/>
        <w:rPr>
          <w:rFonts w:ascii="Palatino Linotype" w:hAnsi="Palatino Linotype"/>
          <w:b/>
          <w:color w:val="000000" w:themeColor="text1"/>
          <w:sz w:val="20"/>
          <w:szCs w:val="24"/>
        </w:rPr>
      </w:pPr>
      <w:r w:rsidRPr="008327B1">
        <w:rPr>
          <w:rFonts w:ascii="Palatino Linotype" w:hAnsi="Palatino Linotype"/>
          <w:b/>
          <w:color w:val="000000" w:themeColor="text1"/>
          <w:sz w:val="20"/>
          <w:szCs w:val="24"/>
        </w:rPr>
        <w:t>Expedientes:</w:t>
      </w:r>
    </w:p>
    <w:p w:rsidR="005024B9" w:rsidRPr="008327B1" w:rsidRDefault="005024B9" w:rsidP="005024B9">
      <w:pPr>
        <w:pStyle w:val="Prrafodelista"/>
        <w:spacing w:line="240" w:lineRule="auto"/>
        <w:ind w:left="851" w:right="900"/>
        <w:jc w:val="both"/>
        <w:rPr>
          <w:rFonts w:ascii="Palatino Linotype" w:hAnsi="Palatino Linotype"/>
          <w:b/>
          <w:color w:val="000000" w:themeColor="text1"/>
          <w:sz w:val="20"/>
          <w:szCs w:val="24"/>
        </w:rPr>
      </w:pPr>
    </w:p>
    <w:p w:rsidR="005024B9" w:rsidRPr="008327B1" w:rsidRDefault="005024B9" w:rsidP="005024B9">
      <w:pPr>
        <w:pStyle w:val="Prrafodelista"/>
        <w:spacing w:line="240" w:lineRule="auto"/>
        <w:ind w:left="851" w:right="900"/>
        <w:jc w:val="both"/>
        <w:rPr>
          <w:rFonts w:ascii="Palatino Linotype" w:hAnsi="Palatino Linotype"/>
          <w:color w:val="000000" w:themeColor="text1"/>
          <w:sz w:val="20"/>
          <w:szCs w:val="24"/>
        </w:rPr>
      </w:pPr>
      <w:r w:rsidRPr="008327B1">
        <w:rPr>
          <w:rFonts w:ascii="Palatino Linotype" w:hAnsi="Palatino Linotype"/>
          <w:color w:val="000000" w:themeColor="text1"/>
          <w:sz w:val="20"/>
          <w:szCs w:val="24"/>
        </w:rPr>
        <w:t xml:space="preserve">4734/07 Pemex Exploración y Producción – </w:t>
      </w:r>
      <w:r w:rsidR="00EA43E2" w:rsidRPr="00EA43E2">
        <w:rPr>
          <w:rFonts w:ascii="Palatino Linotype" w:hAnsi="Palatino Linotype"/>
          <w:color w:val="000000" w:themeColor="text1"/>
          <w:sz w:val="20"/>
          <w:szCs w:val="24"/>
          <w:highlight w:val="black"/>
        </w:rPr>
        <w:t>XXXXXXXXXXXXXXXXXXXXXXX</w:t>
      </w:r>
    </w:p>
    <w:p w:rsidR="005024B9" w:rsidRPr="008327B1" w:rsidRDefault="005024B9" w:rsidP="005024B9">
      <w:pPr>
        <w:pStyle w:val="Prrafodelista"/>
        <w:spacing w:line="240" w:lineRule="auto"/>
        <w:ind w:left="851" w:right="900"/>
        <w:jc w:val="both"/>
        <w:rPr>
          <w:rFonts w:ascii="Palatino Linotype" w:hAnsi="Palatino Linotype"/>
          <w:color w:val="000000" w:themeColor="text1"/>
          <w:sz w:val="20"/>
          <w:szCs w:val="24"/>
        </w:rPr>
      </w:pPr>
    </w:p>
    <w:p w:rsidR="005024B9" w:rsidRPr="008327B1" w:rsidRDefault="005024B9" w:rsidP="005024B9">
      <w:pPr>
        <w:pStyle w:val="Prrafodelista"/>
        <w:spacing w:line="240" w:lineRule="auto"/>
        <w:ind w:left="851" w:right="900"/>
        <w:jc w:val="both"/>
        <w:rPr>
          <w:rFonts w:ascii="Palatino Linotype" w:hAnsi="Palatino Linotype"/>
          <w:color w:val="000000" w:themeColor="text1"/>
          <w:sz w:val="20"/>
          <w:szCs w:val="24"/>
        </w:rPr>
      </w:pPr>
      <w:r w:rsidRPr="008327B1">
        <w:rPr>
          <w:rFonts w:ascii="Palatino Linotype" w:hAnsi="Palatino Linotype"/>
          <w:color w:val="000000" w:themeColor="text1"/>
          <w:sz w:val="20"/>
          <w:szCs w:val="24"/>
        </w:rPr>
        <w:t xml:space="preserve">2936/08 Comisión Federal de Telecomunicaciones - </w:t>
      </w:r>
      <w:r w:rsidR="00EA43E2" w:rsidRPr="00EA43E2">
        <w:rPr>
          <w:rFonts w:ascii="Palatino Linotype" w:hAnsi="Palatino Linotype"/>
          <w:color w:val="000000" w:themeColor="text1"/>
          <w:sz w:val="20"/>
          <w:szCs w:val="24"/>
          <w:highlight w:val="black"/>
        </w:rPr>
        <w:t>XXXXXXXXXXXXXXXXXXXXX</w:t>
      </w:r>
    </w:p>
    <w:p w:rsidR="005024B9" w:rsidRPr="008327B1" w:rsidRDefault="005024B9" w:rsidP="005024B9">
      <w:pPr>
        <w:pStyle w:val="Prrafodelista"/>
        <w:spacing w:line="240" w:lineRule="auto"/>
        <w:ind w:left="851" w:right="900"/>
        <w:jc w:val="both"/>
        <w:rPr>
          <w:rFonts w:ascii="Palatino Linotype" w:hAnsi="Palatino Linotype"/>
          <w:color w:val="000000" w:themeColor="text1"/>
          <w:sz w:val="20"/>
          <w:szCs w:val="24"/>
        </w:rPr>
      </w:pPr>
    </w:p>
    <w:p w:rsidR="005024B9" w:rsidRPr="008327B1" w:rsidRDefault="005024B9" w:rsidP="005024B9">
      <w:pPr>
        <w:pStyle w:val="Prrafodelista"/>
        <w:spacing w:line="240" w:lineRule="auto"/>
        <w:ind w:left="851" w:right="900"/>
        <w:jc w:val="both"/>
        <w:rPr>
          <w:rFonts w:ascii="Palatino Linotype" w:hAnsi="Palatino Linotype"/>
          <w:color w:val="000000" w:themeColor="text1"/>
          <w:sz w:val="20"/>
          <w:szCs w:val="24"/>
        </w:rPr>
      </w:pPr>
      <w:r w:rsidRPr="008327B1">
        <w:rPr>
          <w:rFonts w:ascii="Palatino Linotype" w:hAnsi="Palatino Linotype"/>
          <w:color w:val="000000" w:themeColor="text1"/>
          <w:sz w:val="20"/>
          <w:szCs w:val="24"/>
        </w:rPr>
        <w:t xml:space="preserve">4781/09 Comisión  Nacional  de  Libros  de  Texto  Gratuitos  -  </w:t>
      </w:r>
      <w:r w:rsidR="00EA43E2" w:rsidRPr="00EA43E2">
        <w:rPr>
          <w:rFonts w:ascii="Palatino Linotype" w:hAnsi="Palatino Linotype"/>
          <w:color w:val="000000" w:themeColor="text1"/>
          <w:sz w:val="20"/>
          <w:szCs w:val="24"/>
          <w:highlight w:val="black"/>
        </w:rPr>
        <w:t>XXXXXXXXXXXXXXXXXXXXX</w:t>
      </w:r>
    </w:p>
    <w:p w:rsidR="005024B9" w:rsidRPr="008327B1" w:rsidRDefault="005024B9" w:rsidP="005024B9">
      <w:pPr>
        <w:pStyle w:val="Prrafodelista"/>
        <w:spacing w:line="240" w:lineRule="auto"/>
        <w:ind w:left="851" w:right="900"/>
        <w:jc w:val="both"/>
        <w:rPr>
          <w:rFonts w:ascii="Palatino Linotype" w:hAnsi="Palatino Linotype"/>
          <w:color w:val="000000" w:themeColor="text1"/>
          <w:sz w:val="20"/>
          <w:szCs w:val="24"/>
        </w:rPr>
      </w:pPr>
    </w:p>
    <w:p w:rsidR="005024B9" w:rsidRPr="008327B1" w:rsidRDefault="005024B9" w:rsidP="005024B9">
      <w:pPr>
        <w:pStyle w:val="Prrafodelista"/>
        <w:spacing w:line="240" w:lineRule="auto"/>
        <w:ind w:left="851" w:right="900"/>
        <w:jc w:val="both"/>
        <w:rPr>
          <w:rFonts w:ascii="Palatino Linotype" w:hAnsi="Palatino Linotype"/>
          <w:color w:val="000000" w:themeColor="text1"/>
          <w:sz w:val="20"/>
          <w:szCs w:val="24"/>
        </w:rPr>
      </w:pPr>
      <w:r w:rsidRPr="008327B1">
        <w:rPr>
          <w:rFonts w:ascii="Palatino Linotype" w:hAnsi="Palatino Linotype"/>
          <w:color w:val="000000" w:themeColor="text1"/>
          <w:sz w:val="20"/>
          <w:szCs w:val="24"/>
        </w:rPr>
        <w:t xml:space="preserve">5434/09 Administración  Portuaria  Integral  de  Veracruz,  S.A.  </w:t>
      </w:r>
      <w:proofErr w:type="gramStart"/>
      <w:r w:rsidRPr="008327B1">
        <w:rPr>
          <w:rFonts w:ascii="Palatino Linotype" w:hAnsi="Palatino Linotype"/>
          <w:color w:val="000000" w:themeColor="text1"/>
          <w:sz w:val="20"/>
          <w:szCs w:val="24"/>
        </w:rPr>
        <w:t>de</w:t>
      </w:r>
      <w:proofErr w:type="gramEnd"/>
      <w:r w:rsidRPr="008327B1">
        <w:rPr>
          <w:rFonts w:ascii="Palatino Linotype" w:hAnsi="Palatino Linotype"/>
          <w:color w:val="000000" w:themeColor="text1"/>
          <w:sz w:val="20"/>
          <w:szCs w:val="24"/>
        </w:rPr>
        <w:t xml:space="preserve">  C.V.  - </w:t>
      </w:r>
      <w:r w:rsidR="00EA43E2" w:rsidRPr="00EA43E2">
        <w:rPr>
          <w:rFonts w:ascii="Palatino Linotype" w:hAnsi="Palatino Linotype"/>
          <w:color w:val="000000" w:themeColor="text1"/>
          <w:sz w:val="20"/>
          <w:szCs w:val="24"/>
          <w:highlight w:val="black"/>
        </w:rPr>
        <w:t>XXXXXXXXXXXXXXXXXXXX</w:t>
      </w:r>
    </w:p>
    <w:p w:rsidR="005024B9" w:rsidRPr="008327B1" w:rsidRDefault="005024B9" w:rsidP="005024B9">
      <w:pPr>
        <w:pStyle w:val="Prrafodelista"/>
        <w:spacing w:line="240" w:lineRule="auto"/>
        <w:ind w:left="851" w:right="900"/>
        <w:jc w:val="both"/>
        <w:rPr>
          <w:rFonts w:ascii="Palatino Linotype" w:hAnsi="Palatino Linotype"/>
          <w:color w:val="000000" w:themeColor="text1"/>
          <w:sz w:val="20"/>
          <w:szCs w:val="24"/>
        </w:rPr>
      </w:pPr>
    </w:p>
    <w:p w:rsidR="000E72BE" w:rsidRPr="008327B1" w:rsidRDefault="005024B9" w:rsidP="005024B9">
      <w:pPr>
        <w:pStyle w:val="Prrafodelista"/>
        <w:spacing w:line="240" w:lineRule="auto"/>
        <w:ind w:left="851" w:right="900"/>
        <w:jc w:val="both"/>
        <w:rPr>
          <w:rFonts w:ascii="Palatino Linotype" w:hAnsi="Palatino Linotype"/>
          <w:color w:val="000000" w:themeColor="text1"/>
          <w:sz w:val="24"/>
          <w:szCs w:val="24"/>
        </w:rPr>
      </w:pPr>
      <w:r w:rsidRPr="008327B1">
        <w:rPr>
          <w:rFonts w:ascii="Palatino Linotype" w:hAnsi="Palatino Linotype"/>
          <w:color w:val="000000" w:themeColor="text1"/>
          <w:sz w:val="20"/>
          <w:szCs w:val="24"/>
        </w:rPr>
        <w:t xml:space="preserve">384/10 Instituto Mexicano del Seguro Social - </w:t>
      </w:r>
      <w:r w:rsidR="00D610F3" w:rsidRPr="00D610F3">
        <w:rPr>
          <w:rFonts w:ascii="Palatino Linotype" w:hAnsi="Palatino Linotype"/>
          <w:color w:val="000000" w:themeColor="text1"/>
          <w:sz w:val="20"/>
          <w:szCs w:val="24"/>
          <w:highlight w:val="black"/>
        </w:rPr>
        <w:t>XXXXXXXXXXXXXXXXXXXX</w:t>
      </w:r>
    </w:p>
    <w:p w:rsidR="005024B9" w:rsidRPr="008327B1" w:rsidRDefault="005024B9" w:rsidP="005024B9">
      <w:pPr>
        <w:pStyle w:val="Prrafodelista"/>
        <w:spacing w:line="360" w:lineRule="auto"/>
        <w:ind w:left="360"/>
        <w:jc w:val="both"/>
        <w:rPr>
          <w:rFonts w:ascii="Palatino Linotype" w:hAnsi="Palatino Linotype"/>
          <w:color w:val="000000" w:themeColor="text1"/>
          <w:sz w:val="24"/>
          <w:szCs w:val="24"/>
        </w:rPr>
      </w:pPr>
    </w:p>
    <w:p w:rsidR="00D17E43" w:rsidRPr="008327B1" w:rsidRDefault="00D17E43" w:rsidP="005024B9">
      <w:pPr>
        <w:pStyle w:val="Prrafodelista"/>
        <w:spacing w:line="360" w:lineRule="auto"/>
        <w:ind w:left="360"/>
        <w:jc w:val="both"/>
        <w:rPr>
          <w:rFonts w:ascii="Palatino Linotype" w:hAnsi="Palatino Linotype"/>
          <w:color w:val="000000" w:themeColor="text1"/>
          <w:sz w:val="24"/>
          <w:szCs w:val="24"/>
        </w:rPr>
      </w:pPr>
    </w:p>
    <w:p w:rsidR="000E72BE" w:rsidRPr="008327B1" w:rsidRDefault="000E72BE" w:rsidP="009F000F">
      <w:pPr>
        <w:pStyle w:val="Prrafodelista"/>
        <w:numPr>
          <w:ilvl w:val="0"/>
          <w:numId w:val="17"/>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 xml:space="preserve">En ese orden de ideas, el artículo 49 de nuestro </w:t>
      </w:r>
      <w:r w:rsidR="004902EA" w:rsidRPr="008327B1">
        <w:rPr>
          <w:rFonts w:ascii="Palatino Linotype" w:hAnsi="Palatino Linotype"/>
          <w:color w:val="000000" w:themeColor="text1"/>
          <w:sz w:val="24"/>
          <w:szCs w:val="24"/>
        </w:rPr>
        <w:t>o</w:t>
      </w:r>
      <w:r w:rsidRPr="008327B1">
        <w:rPr>
          <w:rFonts w:ascii="Palatino Linotype" w:hAnsi="Palatino Linotype"/>
          <w:color w:val="000000" w:themeColor="text1"/>
          <w:sz w:val="24"/>
          <w:szCs w:val="24"/>
        </w:rPr>
        <w:t>rdenamiento jurídico establece lo siguiente:</w:t>
      </w:r>
    </w:p>
    <w:p w:rsidR="000E72BE" w:rsidRPr="008327B1" w:rsidRDefault="000E72BE" w:rsidP="000E72BE">
      <w:pPr>
        <w:pStyle w:val="Prrafodelista"/>
        <w:rPr>
          <w:rFonts w:ascii="Palatino Linotype" w:hAnsi="Palatino Linotype"/>
          <w:color w:val="000000" w:themeColor="text1"/>
          <w:sz w:val="24"/>
          <w:szCs w:val="24"/>
        </w:rPr>
      </w:pPr>
    </w:p>
    <w:p w:rsidR="000E72BE" w:rsidRPr="008327B1" w:rsidRDefault="000E72BE" w:rsidP="000E72BE">
      <w:pPr>
        <w:pStyle w:val="Prrafodelista"/>
        <w:spacing w:line="360" w:lineRule="auto"/>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Artículo 49. Los Comités de Transparencia tendrán las siguientes atribuciones:</w:t>
      </w:r>
    </w:p>
    <w:p w:rsidR="000E72BE" w:rsidRPr="008327B1" w:rsidRDefault="000E72BE" w:rsidP="000E72BE">
      <w:pPr>
        <w:pStyle w:val="Prrafodelista"/>
        <w:spacing w:line="360" w:lineRule="auto"/>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w:t>
      </w:r>
    </w:p>
    <w:p w:rsidR="000E72BE" w:rsidRPr="008327B1" w:rsidRDefault="000E72BE" w:rsidP="000E72BE">
      <w:pPr>
        <w:pStyle w:val="Prrafodelista"/>
        <w:spacing w:line="360" w:lineRule="auto"/>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 xml:space="preserve">II. </w:t>
      </w:r>
      <w:r w:rsidRPr="008327B1">
        <w:rPr>
          <w:rFonts w:ascii="Palatino Linotype" w:hAnsi="Palatino Linotype"/>
          <w:b/>
          <w:i/>
          <w:color w:val="000000" w:themeColor="text1"/>
          <w:sz w:val="24"/>
          <w:szCs w:val="24"/>
        </w:rPr>
        <w:t>Confirmar, modificar o revocar</w:t>
      </w:r>
      <w:r w:rsidRPr="008327B1">
        <w:rPr>
          <w:rFonts w:ascii="Palatino Linotype" w:hAnsi="Palatino Linotype"/>
          <w:i/>
          <w:color w:val="000000" w:themeColor="text1"/>
          <w:sz w:val="24"/>
          <w:szCs w:val="24"/>
        </w:rPr>
        <w:t xml:space="preserve"> las determinaciones que en materia de ampliación del plazo de respuesta, clasificación de la información y declaración de inexistencia o de incompetencia realicen los titulares de las áreas de los sujetos obligados;</w:t>
      </w:r>
    </w:p>
    <w:p w:rsidR="000E72BE" w:rsidRPr="008327B1" w:rsidRDefault="000E72BE" w:rsidP="000E72BE">
      <w:pPr>
        <w:pStyle w:val="Prrafodelista"/>
        <w:spacing w:line="360" w:lineRule="auto"/>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w:t>
      </w:r>
    </w:p>
    <w:p w:rsidR="000E72BE" w:rsidRPr="008327B1" w:rsidRDefault="000E72BE" w:rsidP="000E72BE">
      <w:pPr>
        <w:pStyle w:val="Prrafodelista"/>
        <w:spacing w:line="360" w:lineRule="auto"/>
        <w:rPr>
          <w:rFonts w:ascii="Palatino Linotype" w:hAnsi="Palatino Linotype"/>
          <w:color w:val="000000" w:themeColor="text1"/>
          <w:sz w:val="24"/>
          <w:szCs w:val="24"/>
        </w:rPr>
      </w:pPr>
      <w:r w:rsidRPr="008327B1">
        <w:rPr>
          <w:rFonts w:ascii="Palatino Linotype" w:hAnsi="Palatino Linotype"/>
          <w:i/>
          <w:color w:val="000000" w:themeColor="text1"/>
          <w:sz w:val="24"/>
          <w:szCs w:val="24"/>
        </w:rPr>
        <w:t xml:space="preserve">VIII. </w:t>
      </w:r>
      <w:r w:rsidRPr="008327B1">
        <w:rPr>
          <w:rFonts w:ascii="Palatino Linotype" w:hAnsi="Palatino Linotype"/>
          <w:b/>
          <w:i/>
          <w:color w:val="000000" w:themeColor="text1"/>
          <w:sz w:val="24"/>
          <w:szCs w:val="24"/>
        </w:rPr>
        <w:t>Aprobar, modificar o revocar</w:t>
      </w:r>
      <w:r w:rsidRPr="008327B1">
        <w:rPr>
          <w:rFonts w:ascii="Palatino Linotype" w:hAnsi="Palatino Linotype"/>
          <w:i/>
          <w:color w:val="000000" w:themeColor="text1"/>
          <w:sz w:val="24"/>
          <w:szCs w:val="24"/>
        </w:rPr>
        <w:t xml:space="preserve"> la clasificación de la información;</w:t>
      </w:r>
    </w:p>
    <w:p w:rsidR="00EA0FF3" w:rsidRPr="008327B1" w:rsidRDefault="00EA0FF3" w:rsidP="00EA0FF3">
      <w:pPr>
        <w:pStyle w:val="Prrafodelista"/>
        <w:spacing w:line="360" w:lineRule="auto"/>
        <w:ind w:left="709"/>
        <w:jc w:val="both"/>
        <w:rPr>
          <w:rFonts w:ascii="Palatino Linotype" w:hAnsi="Palatino Linotype"/>
          <w:color w:val="000000" w:themeColor="text1"/>
          <w:sz w:val="24"/>
          <w:szCs w:val="24"/>
        </w:rPr>
      </w:pPr>
    </w:p>
    <w:p w:rsidR="000E72BE" w:rsidRPr="008327B1" w:rsidRDefault="00010A7A" w:rsidP="00EA0FF3">
      <w:pPr>
        <w:pStyle w:val="Prrafodelista"/>
        <w:spacing w:line="360" w:lineRule="auto"/>
        <w:ind w:left="709"/>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(Énfasis añadido)</w:t>
      </w:r>
    </w:p>
    <w:p w:rsidR="00516B40" w:rsidRPr="008327B1" w:rsidRDefault="00516B40" w:rsidP="000E72BE">
      <w:pPr>
        <w:pStyle w:val="Prrafodelista"/>
        <w:spacing w:line="360" w:lineRule="auto"/>
        <w:ind w:left="360"/>
        <w:jc w:val="both"/>
        <w:rPr>
          <w:rFonts w:ascii="Palatino Linotype" w:hAnsi="Palatino Linotype"/>
          <w:color w:val="000000" w:themeColor="text1"/>
          <w:sz w:val="24"/>
          <w:szCs w:val="24"/>
        </w:rPr>
      </w:pPr>
    </w:p>
    <w:p w:rsidR="003319F8" w:rsidRPr="008327B1" w:rsidRDefault="003319F8" w:rsidP="00294356">
      <w:pPr>
        <w:pStyle w:val="Prrafodelista"/>
        <w:numPr>
          <w:ilvl w:val="0"/>
          <w:numId w:val="17"/>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Por otro lado, los argumentos de que es el Comité el que aprueba la clasificación de la información se derivan de lo señalado en los artículos 53 fracción X y 59 fracción V que se refiere a las facultades de la Unidad de Transparencia y de los servidores públicos habilitados, dichas disposiciones normativas señalan:</w:t>
      </w:r>
    </w:p>
    <w:p w:rsidR="003319F8" w:rsidRPr="008327B1" w:rsidRDefault="003319F8" w:rsidP="003319F8">
      <w:pPr>
        <w:pStyle w:val="Prrafodelista"/>
        <w:spacing w:line="360" w:lineRule="auto"/>
        <w:ind w:left="360"/>
        <w:jc w:val="both"/>
        <w:rPr>
          <w:rFonts w:ascii="Palatino Linotype" w:hAnsi="Palatino Linotype"/>
          <w:color w:val="000000" w:themeColor="text1"/>
          <w:sz w:val="24"/>
          <w:szCs w:val="24"/>
        </w:rPr>
      </w:pPr>
    </w:p>
    <w:p w:rsidR="003319F8" w:rsidRPr="008327B1" w:rsidRDefault="003319F8" w:rsidP="003319F8">
      <w:pPr>
        <w:pStyle w:val="Prrafodelista"/>
        <w:spacing w:line="360" w:lineRule="auto"/>
        <w:ind w:left="709" w:right="474"/>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lastRenderedPageBreak/>
        <w:t>Artículo 53. Las Unidades de Transparencia tendrán las siguientes funciones:</w:t>
      </w:r>
    </w:p>
    <w:p w:rsidR="003319F8" w:rsidRPr="008327B1" w:rsidRDefault="003319F8" w:rsidP="003319F8">
      <w:pPr>
        <w:pStyle w:val="Prrafodelista"/>
        <w:spacing w:line="360" w:lineRule="auto"/>
        <w:ind w:left="709" w:right="474"/>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w:t>
      </w:r>
    </w:p>
    <w:p w:rsidR="003319F8" w:rsidRPr="008327B1" w:rsidRDefault="003319F8" w:rsidP="003319F8">
      <w:pPr>
        <w:pStyle w:val="Prrafodelista"/>
        <w:spacing w:line="360" w:lineRule="auto"/>
        <w:ind w:left="709" w:right="474"/>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X. Presentar ante el Comité, el proyecto de clasificación de información;</w:t>
      </w:r>
    </w:p>
    <w:p w:rsidR="003319F8" w:rsidRPr="008327B1" w:rsidRDefault="003319F8" w:rsidP="003319F8">
      <w:pPr>
        <w:pStyle w:val="Prrafodelista"/>
        <w:spacing w:line="360" w:lineRule="auto"/>
        <w:ind w:left="709" w:right="474"/>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w:t>
      </w:r>
    </w:p>
    <w:p w:rsidR="003319F8" w:rsidRPr="008327B1" w:rsidRDefault="003319F8" w:rsidP="003319F8">
      <w:pPr>
        <w:pStyle w:val="Prrafodelista"/>
        <w:spacing w:line="360" w:lineRule="auto"/>
        <w:ind w:left="709" w:right="474"/>
        <w:jc w:val="both"/>
        <w:rPr>
          <w:rFonts w:ascii="Palatino Linotype" w:hAnsi="Palatino Linotype"/>
          <w:i/>
          <w:color w:val="000000" w:themeColor="text1"/>
          <w:sz w:val="24"/>
          <w:szCs w:val="24"/>
        </w:rPr>
      </w:pPr>
    </w:p>
    <w:p w:rsidR="003319F8" w:rsidRPr="008327B1" w:rsidRDefault="003319F8" w:rsidP="003319F8">
      <w:pPr>
        <w:pStyle w:val="Prrafodelista"/>
        <w:spacing w:line="360" w:lineRule="auto"/>
        <w:ind w:left="709" w:right="474"/>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Artículo 59. Los servidores públicos habilitados tendrán las funciones siguientes:</w:t>
      </w:r>
    </w:p>
    <w:p w:rsidR="003319F8" w:rsidRPr="008327B1" w:rsidRDefault="003319F8" w:rsidP="003319F8">
      <w:pPr>
        <w:pStyle w:val="Prrafodelista"/>
        <w:spacing w:line="360" w:lineRule="auto"/>
        <w:ind w:left="709" w:right="474"/>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w:t>
      </w:r>
    </w:p>
    <w:p w:rsidR="003319F8" w:rsidRPr="008327B1" w:rsidRDefault="003319F8" w:rsidP="003319F8">
      <w:pPr>
        <w:pStyle w:val="Prrafodelista"/>
        <w:spacing w:line="360" w:lineRule="auto"/>
        <w:ind w:left="709" w:right="474"/>
        <w:jc w:val="both"/>
        <w:rPr>
          <w:rFonts w:ascii="Palatino Linotype" w:hAnsi="Palatino Linotype"/>
          <w:i/>
          <w:color w:val="000000" w:themeColor="text1"/>
          <w:sz w:val="24"/>
          <w:szCs w:val="24"/>
        </w:rPr>
      </w:pPr>
      <w:r w:rsidRPr="008327B1">
        <w:rPr>
          <w:rFonts w:ascii="Palatino Linotype" w:hAnsi="Palatino Linotype"/>
          <w:i/>
          <w:color w:val="000000" w:themeColor="text1"/>
          <w:sz w:val="24"/>
          <w:szCs w:val="24"/>
        </w:rPr>
        <w:t>V. Integrar y presentar al responsable de la Unidad de Transparencia la propuesta de clasificación de información, la cual tendrá los fundamentos y argumentos en que se basa dicha propuesta;</w:t>
      </w:r>
    </w:p>
    <w:p w:rsidR="003319F8" w:rsidRPr="008327B1" w:rsidRDefault="003319F8" w:rsidP="003319F8">
      <w:pPr>
        <w:pStyle w:val="Prrafodelista"/>
        <w:spacing w:line="360" w:lineRule="auto"/>
        <w:ind w:left="360"/>
        <w:jc w:val="both"/>
        <w:rPr>
          <w:rFonts w:ascii="Palatino Linotype" w:hAnsi="Palatino Linotype"/>
          <w:color w:val="000000" w:themeColor="text1"/>
          <w:sz w:val="24"/>
          <w:szCs w:val="24"/>
        </w:rPr>
      </w:pPr>
    </w:p>
    <w:p w:rsidR="003319F8" w:rsidRPr="008327B1" w:rsidRDefault="003319F8" w:rsidP="00294356">
      <w:pPr>
        <w:pStyle w:val="Prrafodelista"/>
        <w:numPr>
          <w:ilvl w:val="0"/>
          <w:numId w:val="17"/>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A la luz de los preceptos jurídicos transcritos, se  aprecia que, una vez que se ha localizado la información y que esta debe clasificarse, el Titular del área debe remitir una “solicitud” junto con un escrito que “funde y motive la clasificación al Comité de Transparencia “</w:t>
      </w:r>
      <w:r w:rsidR="00D62D08" w:rsidRPr="008327B1">
        <w:rPr>
          <w:rFonts w:ascii="Palatino Linotype" w:hAnsi="Palatino Linotype"/>
          <w:color w:val="000000" w:themeColor="text1"/>
          <w:sz w:val="24"/>
          <w:szCs w:val="24"/>
        </w:rPr>
        <w:t>haciendo énfasis en que las atribuciones del servidor público habilitado es quien hace una propuesta que contendrá los fundamentos y motivación, para ulteriormente el Comité resuelva la “solicitud” del titular del área, que podría: confirmar, modificar o revocar la clasificación propuesta por el titular del área.</w:t>
      </w:r>
    </w:p>
    <w:p w:rsidR="00D62D08" w:rsidRPr="008327B1" w:rsidRDefault="00D62D08" w:rsidP="00D62D08">
      <w:pPr>
        <w:spacing w:line="360" w:lineRule="auto"/>
        <w:jc w:val="both"/>
        <w:rPr>
          <w:rFonts w:ascii="Palatino Linotype" w:hAnsi="Palatino Linotype"/>
          <w:color w:val="000000" w:themeColor="text1"/>
          <w:sz w:val="24"/>
          <w:szCs w:val="24"/>
        </w:rPr>
      </w:pPr>
    </w:p>
    <w:p w:rsidR="007F7D44" w:rsidRPr="008327B1" w:rsidRDefault="00D62D08" w:rsidP="00E432FE">
      <w:pPr>
        <w:pStyle w:val="Prrafodelista"/>
        <w:numPr>
          <w:ilvl w:val="0"/>
          <w:numId w:val="17"/>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 xml:space="preserve">A partir de esta interpretación, se daría adecuado cumplimiento a lo establecido en la ley, </w:t>
      </w:r>
      <w:r w:rsidR="004902EA" w:rsidRPr="008327B1">
        <w:rPr>
          <w:rFonts w:ascii="Palatino Linotype" w:hAnsi="Palatino Linotype"/>
          <w:color w:val="000000" w:themeColor="text1"/>
          <w:sz w:val="24"/>
          <w:szCs w:val="24"/>
        </w:rPr>
        <w:t xml:space="preserve">y se tendría por colmado el supuesto, </w:t>
      </w:r>
      <w:r w:rsidRPr="008327B1">
        <w:rPr>
          <w:rFonts w:ascii="Palatino Linotype" w:hAnsi="Palatino Linotype"/>
          <w:color w:val="000000" w:themeColor="text1"/>
          <w:sz w:val="24"/>
          <w:szCs w:val="24"/>
        </w:rPr>
        <w:t xml:space="preserve">ya que </w:t>
      </w:r>
      <w:r w:rsidR="004902EA" w:rsidRPr="008327B1">
        <w:rPr>
          <w:rFonts w:ascii="Palatino Linotype" w:hAnsi="Palatino Linotype"/>
          <w:color w:val="000000" w:themeColor="text1"/>
          <w:sz w:val="24"/>
          <w:szCs w:val="24"/>
        </w:rPr>
        <w:t>se insist</w:t>
      </w:r>
      <w:bookmarkStart w:id="2" w:name="_GoBack"/>
      <w:bookmarkEnd w:id="2"/>
      <w:r w:rsidR="004902EA" w:rsidRPr="008327B1">
        <w:rPr>
          <w:rFonts w:ascii="Palatino Linotype" w:hAnsi="Palatino Linotype"/>
          <w:color w:val="000000" w:themeColor="text1"/>
          <w:sz w:val="24"/>
          <w:szCs w:val="24"/>
        </w:rPr>
        <w:t xml:space="preserve">e, </w:t>
      </w:r>
      <w:r w:rsidR="007F7D44" w:rsidRPr="008327B1">
        <w:rPr>
          <w:rFonts w:ascii="Palatino Linotype" w:hAnsi="Palatino Linotype"/>
          <w:color w:val="000000" w:themeColor="text1"/>
          <w:sz w:val="24"/>
          <w:szCs w:val="24"/>
        </w:rPr>
        <w:t xml:space="preserve">si </w:t>
      </w:r>
      <w:r w:rsidR="004902EA" w:rsidRPr="008327B1">
        <w:rPr>
          <w:rFonts w:ascii="Palatino Linotype" w:hAnsi="Palatino Linotype"/>
          <w:color w:val="000000" w:themeColor="text1"/>
          <w:sz w:val="24"/>
          <w:szCs w:val="24"/>
        </w:rPr>
        <w:t xml:space="preserve">la finalidad </w:t>
      </w:r>
      <w:r w:rsidR="004902EA" w:rsidRPr="008327B1">
        <w:rPr>
          <w:rFonts w:ascii="Palatino Linotype" w:hAnsi="Palatino Linotype"/>
          <w:color w:val="000000" w:themeColor="text1"/>
          <w:sz w:val="24"/>
          <w:szCs w:val="24"/>
        </w:rPr>
        <w:lastRenderedPageBreak/>
        <w:t>de ordenar la información de mérito, es la de</w:t>
      </w:r>
      <w:r w:rsidR="007F7D44" w:rsidRPr="008327B1">
        <w:rPr>
          <w:rFonts w:ascii="Palatino Linotype" w:hAnsi="Palatino Linotype"/>
          <w:color w:val="000000" w:themeColor="text1"/>
          <w:sz w:val="24"/>
          <w:szCs w:val="24"/>
        </w:rPr>
        <w:t xml:space="preserve"> acreditar que esa persona entrego ese documento al integrar su expediente, eso mismo se acredita con la clasificación del documento, lo que considero resulta entonces</w:t>
      </w:r>
      <w:r w:rsidR="004902EA" w:rsidRPr="008327B1">
        <w:rPr>
          <w:rFonts w:ascii="Palatino Linotype" w:hAnsi="Palatino Linotype"/>
          <w:color w:val="000000" w:themeColor="text1"/>
          <w:sz w:val="24"/>
          <w:szCs w:val="24"/>
        </w:rPr>
        <w:t xml:space="preserve"> por demás </w:t>
      </w:r>
      <w:r w:rsidR="007F7D44" w:rsidRPr="008327B1">
        <w:rPr>
          <w:rFonts w:ascii="Palatino Linotype" w:hAnsi="Palatino Linotype"/>
          <w:color w:val="000000" w:themeColor="text1"/>
          <w:sz w:val="24"/>
          <w:szCs w:val="24"/>
        </w:rPr>
        <w:t>en el presente asunto.</w:t>
      </w:r>
      <w:r w:rsidR="00D17E43" w:rsidRPr="008327B1">
        <w:rPr>
          <w:rFonts w:ascii="Palatino Linotype" w:hAnsi="Palatino Linotype"/>
          <w:color w:val="000000" w:themeColor="text1"/>
          <w:sz w:val="24"/>
          <w:szCs w:val="24"/>
        </w:rPr>
        <w:t xml:space="preserve"> </w:t>
      </w:r>
    </w:p>
    <w:p w:rsidR="00D17E43" w:rsidRPr="008327B1" w:rsidRDefault="00D17E43" w:rsidP="00D17E43">
      <w:pPr>
        <w:pStyle w:val="Prrafodelista"/>
        <w:rPr>
          <w:rFonts w:ascii="Palatino Linotype" w:hAnsi="Palatino Linotype"/>
          <w:color w:val="000000" w:themeColor="text1"/>
          <w:sz w:val="24"/>
          <w:szCs w:val="24"/>
        </w:rPr>
      </w:pPr>
    </w:p>
    <w:p w:rsidR="00D17E43" w:rsidRPr="008327B1" w:rsidRDefault="00D17E43" w:rsidP="00D17E43">
      <w:pPr>
        <w:pStyle w:val="Prrafodelista"/>
        <w:numPr>
          <w:ilvl w:val="0"/>
          <w:numId w:val="17"/>
        </w:numPr>
        <w:spacing w:line="360" w:lineRule="auto"/>
        <w:jc w:val="both"/>
        <w:rPr>
          <w:rFonts w:ascii="Palatino Linotype" w:hAnsi="Palatino Linotype"/>
          <w:color w:val="000000" w:themeColor="text1"/>
          <w:sz w:val="24"/>
          <w:szCs w:val="24"/>
        </w:rPr>
      </w:pPr>
      <w:r w:rsidRPr="008327B1">
        <w:rPr>
          <w:rFonts w:ascii="Palatino Linotype" w:hAnsi="Palatino Linotype"/>
          <w:color w:val="000000" w:themeColor="text1"/>
          <w:sz w:val="24"/>
          <w:szCs w:val="24"/>
        </w:rPr>
        <w:t>Pues como precisa el propio criterio del hoy INAI, la clasificación, es una condición de la información existente y excluye la inexistencia; es decir no pueden coexistir, pues ello implica una situación que se produce cuando un sujeto o una cosa existen a la vez que otro u otra. Coexistir, dicho de otro modo, implica una existencia simultánea.</w:t>
      </w:r>
    </w:p>
    <w:p w:rsidR="007F7D44" w:rsidRPr="008327B1" w:rsidRDefault="007F7D44" w:rsidP="007F7D44">
      <w:pPr>
        <w:pStyle w:val="Prrafodelista"/>
        <w:rPr>
          <w:rFonts w:ascii="Palatino Linotype" w:hAnsi="Palatino Linotype"/>
          <w:color w:val="000000" w:themeColor="text1"/>
          <w:sz w:val="24"/>
          <w:szCs w:val="24"/>
        </w:rPr>
      </w:pPr>
    </w:p>
    <w:p w:rsidR="004902EA" w:rsidRPr="008327B1" w:rsidRDefault="004902EA" w:rsidP="004902EA">
      <w:pPr>
        <w:pStyle w:val="Prrafodelista"/>
        <w:numPr>
          <w:ilvl w:val="0"/>
          <w:numId w:val="17"/>
        </w:numPr>
        <w:spacing w:line="360" w:lineRule="auto"/>
        <w:jc w:val="both"/>
        <w:rPr>
          <w:rFonts w:ascii="Palatino Linotype" w:hAnsi="Palatino Linotype" w:cs="Arial"/>
          <w:sz w:val="24"/>
          <w:szCs w:val="24"/>
        </w:rPr>
      </w:pPr>
      <w:r w:rsidRPr="008327B1">
        <w:rPr>
          <w:rFonts w:ascii="Palatino Linotype" w:hAnsi="Palatino Linotype" w:cs="Arial"/>
          <w:sz w:val="24"/>
          <w:szCs w:val="24"/>
        </w:rPr>
        <w:t>Una vez expuesto lo anterior, concluyo mi opinión particular en la resolución materia del mismo.</w:t>
      </w:r>
    </w:p>
    <w:p w:rsidR="00D62D08" w:rsidRPr="008327B1" w:rsidRDefault="00D62D08" w:rsidP="004902EA">
      <w:pPr>
        <w:pStyle w:val="Prrafodelista"/>
        <w:spacing w:line="360" w:lineRule="auto"/>
        <w:ind w:left="360"/>
        <w:jc w:val="both"/>
        <w:rPr>
          <w:rFonts w:ascii="Palatino Linotype" w:hAnsi="Palatino Linotype"/>
          <w:color w:val="000000" w:themeColor="text1"/>
          <w:sz w:val="24"/>
          <w:szCs w:val="24"/>
        </w:rPr>
      </w:pPr>
    </w:p>
    <w:p w:rsidR="003D3B5C" w:rsidRPr="008327B1" w:rsidRDefault="003D3B5C" w:rsidP="00D31E87">
      <w:pPr>
        <w:rPr>
          <w:rFonts w:ascii="Palatino Linotype" w:hAnsi="Palatino Linotype"/>
          <w:color w:val="000000" w:themeColor="text1"/>
          <w:sz w:val="24"/>
          <w:szCs w:val="24"/>
        </w:rPr>
      </w:pPr>
    </w:p>
    <w:p w:rsidR="00D31E87" w:rsidRPr="008327B1" w:rsidRDefault="00D31E87" w:rsidP="00D31E87">
      <w:pPr>
        <w:pStyle w:val="Prrafodelista"/>
        <w:spacing w:line="360" w:lineRule="auto"/>
        <w:ind w:left="0"/>
        <w:jc w:val="center"/>
        <w:rPr>
          <w:rFonts w:ascii="Palatino Linotype" w:eastAsia="Calibri" w:hAnsi="Palatino Linotype" w:cs="Arial"/>
          <w:b/>
          <w:color w:val="000000" w:themeColor="text1"/>
          <w:sz w:val="24"/>
          <w:szCs w:val="24"/>
        </w:rPr>
      </w:pPr>
      <w:r w:rsidRPr="008327B1">
        <w:rPr>
          <w:rFonts w:ascii="Palatino Linotype" w:eastAsia="Calibri" w:hAnsi="Palatino Linotype" w:cs="Arial"/>
          <w:b/>
          <w:color w:val="000000" w:themeColor="text1"/>
          <w:sz w:val="24"/>
          <w:szCs w:val="24"/>
        </w:rPr>
        <w:t>JOSÉ GUADALUPE LUNA HERNÁNDEZ</w:t>
      </w:r>
    </w:p>
    <w:p w:rsidR="00D31E87" w:rsidRPr="008327B1" w:rsidRDefault="00D31E87" w:rsidP="00D75A73">
      <w:pPr>
        <w:pStyle w:val="Prrafodelista"/>
        <w:spacing w:line="360" w:lineRule="auto"/>
        <w:ind w:left="0"/>
        <w:jc w:val="center"/>
        <w:rPr>
          <w:rFonts w:ascii="Palatino Linotype" w:eastAsia="Calibri" w:hAnsi="Palatino Linotype" w:cs="Arial"/>
          <w:b/>
          <w:color w:val="000000" w:themeColor="text1"/>
          <w:sz w:val="24"/>
          <w:szCs w:val="24"/>
        </w:rPr>
      </w:pPr>
      <w:r w:rsidRPr="008327B1">
        <w:rPr>
          <w:rFonts w:ascii="Palatino Linotype" w:eastAsia="Calibri" w:hAnsi="Palatino Linotype" w:cs="Arial"/>
          <w:b/>
          <w:color w:val="000000" w:themeColor="text1"/>
          <w:sz w:val="24"/>
          <w:szCs w:val="24"/>
        </w:rPr>
        <w:t>COMISIONADO</w:t>
      </w:r>
    </w:p>
    <w:p w:rsidR="003D3B5C" w:rsidRPr="005F738A" w:rsidRDefault="003D3B5C" w:rsidP="003D3B5C">
      <w:pPr>
        <w:pStyle w:val="Prrafodelista"/>
        <w:spacing w:line="360" w:lineRule="auto"/>
        <w:ind w:left="0"/>
        <w:jc w:val="center"/>
        <w:rPr>
          <w:rFonts w:ascii="Palatino Linotype" w:hAnsi="Palatino Linotype" w:cs="Arial"/>
          <w:b/>
          <w:color w:val="000000" w:themeColor="text1"/>
          <w:sz w:val="24"/>
          <w:szCs w:val="24"/>
        </w:rPr>
      </w:pPr>
    </w:p>
    <w:p w:rsidR="003D3B5C" w:rsidRPr="00774B2D" w:rsidRDefault="003D3B5C" w:rsidP="00D75A73">
      <w:pPr>
        <w:pStyle w:val="Prrafodelista"/>
        <w:spacing w:line="360" w:lineRule="auto"/>
        <w:ind w:left="0"/>
        <w:jc w:val="center"/>
        <w:rPr>
          <w:rFonts w:ascii="Palatino Linotype" w:eastAsia="Calibri" w:hAnsi="Palatino Linotype" w:cs="Arial"/>
          <w:b/>
          <w:color w:val="000000" w:themeColor="text1"/>
          <w:sz w:val="24"/>
          <w:szCs w:val="24"/>
        </w:rPr>
      </w:pPr>
    </w:p>
    <w:p w:rsidR="00D75A73" w:rsidRPr="00774B2D" w:rsidRDefault="008327B1" w:rsidP="00D75A73">
      <w:pPr>
        <w:pStyle w:val="Prrafodelista"/>
        <w:spacing w:line="360" w:lineRule="auto"/>
        <w:ind w:left="0"/>
        <w:rPr>
          <w:rFonts w:ascii="Palatino Linotype" w:eastAsia="Calibri" w:hAnsi="Palatino Linotype" w:cs="Arial"/>
          <w:b/>
          <w:color w:val="000000" w:themeColor="text1"/>
          <w:sz w:val="24"/>
          <w:szCs w:val="24"/>
        </w:rPr>
      </w:pPr>
      <w:r>
        <w:rPr>
          <w:rFonts w:ascii="Palatino Linotype" w:eastAsia="Calibri" w:hAnsi="Palatino Linotype" w:cs="Arial"/>
          <w:b/>
          <w:color w:val="000000" w:themeColor="text1"/>
          <w:sz w:val="24"/>
          <w:szCs w:val="24"/>
        </w:rPr>
        <w:t>JGLH/MULR</w:t>
      </w:r>
    </w:p>
    <w:sectPr w:rsidR="00D75A73" w:rsidRPr="00774B2D" w:rsidSect="00AD4277">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6EA" w:rsidRDefault="004646EA" w:rsidP="00DC559A">
      <w:pPr>
        <w:spacing w:after="0" w:line="240" w:lineRule="auto"/>
      </w:pPr>
      <w:r>
        <w:separator/>
      </w:r>
    </w:p>
  </w:endnote>
  <w:endnote w:type="continuationSeparator" w:id="0">
    <w:p w:rsidR="004646EA" w:rsidRDefault="004646EA"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rPr>
      <w:id w:val="32855158"/>
      <w:docPartObj>
        <w:docPartGallery w:val="Page Numbers (Bottom of Page)"/>
        <w:docPartUnique/>
      </w:docPartObj>
    </w:sdtPr>
    <w:sdtEndPr>
      <w:rPr>
        <w:rFonts w:asciiTheme="minorHAnsi" w:hAnsiTheme="minorHAnsi"/>
        <w:sz w:val="22"/>
      </w:rPr>
    </w:sdtEndPr>
    <w:sdtContent>
      <w:sdt>
        <w:sdtPr>
          <w:rPr>
            <w:rFonts w:ascii="Palatino Linotype" w:hAnsi="Palatino Linotype"/>
            <w:sz w:val="20"/>
          </w:rPr>
          <w:id w:val="-1769616900"/>
          <w:docPartObj>
            <w:docPartGallery w:val="Page Numbers (Top of Page)"/>
            <w:docPartUnique/>
          </w:docPartObj>
        </w:sdtPr>
        <w:sdtEndPr>
          <w:rPr>
            <w:rFonts w:asciiTheme="minorHAnsi" w:hAnsiTheme="minorHAnsi"/>
            <w:sz w:val="22"/>
          </w:rPr>
        </w:sdtEndPr>
        <w:sdtContent>
          <w:p w:rsidR="00D62D08" w:rsidRDefault="00D62D08">
            <w:pPr>
              <w:pStyle w:val="Piedepgina"/>
              <w:jc w:val="right"/>
            </w:pPr>
            <w:r w:rsidRPr="007428B3">
              <w:rPr>
                <w:rFonts w:ascii="Palatino Linotype" w:hAnsi="Palatino Linotype"/>
                <w:sz w:val="20"/>
                <w:lang w:val="es-ES"/>
              </w:rPr>
              <w:t xml:space="preserve">Página </w:t>
            </w:r>
            <w:r w:rsidRPr="007428B3">
              <w:rPr>
                <w:rFonts w:ascii="Palatino Linotype" w:hAnsi="Palatino Linotype"/>
                <w:b/>
                <w:bCs/>
                <w:szCs w:val="24"/>
              </w:rPr>
              <w:fldChar w:fldCharType="begin"/>
            </w:r>
            <w:r w:rsidRPr="007428B3">
              <w:rPr>
                <w:rFonts w:ascii="Palatino Linotype" w:hAnsi="Palatino Linotype"/>
                <w:b/>
                <w:bCs/>
                <w:sz w:val="20"/>
              </w:rPr>
              <w:instrText>PAGE</w:instrText>
            </w:r>
            <w:r w:rsidRPr="007428B3">
              <w:rPr>
                <w:rFonts w:ascii="Palatino Linotype" w:hAnsi="Palatino Linotype"/>
                <w:b/>
                <w:bCs/>
                <w:szCs w:val="24"/>
              </w:rPr>
              <w:fldChar w:fldCharType="separate"/>
            </w:r>
            <w:r w:rsidR="00D610F3">
              <w:rPr>
                <w:rFonts w:ascii="Palatino Linotype" w:hAnsi="Palatino Linotype"/>
                <w:b/>
                <w:bCs/>
                <w:noProof/>
                <w:sz w:val="20"/>
              </w:rPr>
              <w:t>7</w:t>
            </w:r>
            <w:r w:rsidRPr="007428B3">
              <w:rPr>
                <w:rFonts w:ascii="Palatino Linotype" w:hAnsi="Palatino Linotype"/>
                <w:b/>
                <w:bCs/>
                <w:szCs w:val="24"/>
              </w:rPr>
              <w:fldChar w:fldCharType="end"/>
            </w:r>
            <w:r w:rsidRPr="007428B3">
              <w:rPr>
                <w:rFonts w:ascii="Palatino Linotype" w:hAnsi="Palatino Linotype"/>
                <w:sz w:val="20"/>
                <w:lang w:val="es-ES"/>
              </w:rPr>
              <w:t xml:space="preserve"> de </w:t>
            </w:r>
            <w:r w:rsidRPr="007428B3">
              <w:rPr>
                <w:rFonts w:ascii="Palatino Linotype" w:hAnsi="Palatino Linotype"/>
                <w:b/>
                <w:bCs/>
                <w:szCs w:val="24"/>
              </w:rPr>
              <w:fldChar w:fldCharType="begin"/>
            </w:r>
            <w:r w:rsidRPr="007428B3">
              <w:rPr>
                <w:rFonts w:ascii="Palatino Linotype" w:hAnsi="Palatino Linotype"/>
                <w:b/>
                <w:bCs/>
                <w:sz w:val="20"/>
              </w:rPr>
              <w:instrText>NUMPAGES</w:instrText>
            </w:r>
            <w:r w:rsidRPr="007428B3">
              <w:rPr>
                <w:rFonts w:ascii="Palatino Linotype" w:hAnsi="Palatino Linotype"/>
                <w:b/>
                <w:bCs/>
                <w:szCs w:val="24"/>
              </w:rPr>
              <w:fldChar w:fldCharType="separate"/>
            </w:r>
            <w:r w:rsidR="00D610F3">
              <w:rPr>
                <w:rFonts w:ascii="Palatino Linotype" w:hAnsi="Palatino Linotype"/>
                <w:b/>
                <w:bCs/>
                <w:noProof/>
                <w:sz w:val="20"/>
              </w:rPr>
              <w:t>7</w:t>
            </w:r>
            <w:r w:rsidRPr="007428B3">
              <w:rPr>
                <w:rFonts w:ascii="Palatino Linotype" w:hAnsi="Palatino Linotype"/>
                <w:b/>
                <w:bCs/>
                <w:szCs w:val="24"/>
              </w:rPr>
              <w:fldChar w:fldCharType="end"/>
            </w:r>
          </w:p>
        </w:sdtContent>
      </w:sdt>
    </w:sdtContent>
  </w:sdt>
  <w:p w:rsidR="00D62D08" w:rsidRDefault="00D62D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6EA" w:rsidRDefault="004646EA" w:rsidP="00DC559A">
      <w:pPr>
        <w:spacing w:after="0" w:line="240" w:lineRule="auto"/>
      </w:pPr>
      <w:r>
        <w:separator/>
      </w:r>
    </w:p>
  </w:footnote>
  <w:footnote w:type="continuationSeparator" w:id="0">
    <w:p w:rsidR="004646EA" w:rsidRDefault="004646EA"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4646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7" o:spid="_x0000_s2049" type="#_x0000_t136" style="position:absolute;margin-left:0;margin-top:0;width:566.4pt;height:56.6pt;rotation:315;z-index:-251659264;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4646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8" o:spid="_x0000_s2050" type="#_x0000_t136" style="position:absolute;margin-left:0;margin-top:0;width:566.4pt;height:56.6pt;rotation:315;z-index:-251658240;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p w:rsidR="00D62D08" w:rsidRPr="007428B3" w:rsidRDefault="00D62D08">
    <w:pPr>
      <w:pStyle w:val="Encabezado"/>
      <w:rPr>
        <w:rFonts w:ascii="Palatino Linotype" w:hAnsi="Palatino Linotype"/>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08" w:rsidRDefault="004646E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21406" o:spid="_x0000_s2051" type="#_x0000_t136" style="position:absolute;margin-left:0;margin-top:0;width:566.4pt;height:56.6pt;rotation:315;z-index:-251657216;mso-position-horizontal:center;mso-position-horizontal-relative:margin;mso-position-vertical:center;mso-position-vertical-relative:margin" o:allowincell="f" fillcolor="#747070 [1614]" stroked="f">
          <v:fill opacity=".5"/>
          <v:textpath style="font-family:&quot;Arial&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9C5D00"/>
    <w:multiLevelType w:val="hybridMultilevel"/>
    <w:tmpl w:val="111EFD6E"/>
    <w:lvl w:ilvl="0" w:tplc="4370AA74">
      <w:start w:val="2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191449CC"/>
    <w:multiLevelType w:val="hybridMultilevel"/>
    <w:tmpl w:val="994A13C6"/>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725E60"/>
    <w:multiLevelType w:val="hybridMultilevel"/>
    <w:tmpl w:val="C7C8FB3C"/>
    <w:lvl w:ilvl="0" w:tplc="F9E09338">
      <w:start w:val="3"/>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CF65299"/>
    <w:multiLevelType w:val="hybridMultilevel"/>
    <w:tmpl w:val="F2621F36"/>
    <w:lvl w:ilvl="0" w:tplc="2FCAD482">
      <w:start w:val="3"/>
      <w:numFmt w:val="upperRoman"/>
      <w:lvlText w:val="%1."/>
      <w:lvlJc w:val="left"/>
      <w:pPr>
        <w:ind w:left="72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C41196"/>
    <w:multiLevelType w:val="hybridMultilevel"/>
    <w:tmpl w:val="989E54C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E1803D3"/>
    <w:multiLevelType w:val="hybridMultilevel"/>
    <w:tmpl w:val="EB4AFD7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1720D2"/>
    <w:multiLevelType w:val="hybridMultilevel"/>
    <w:tmpl w:val="B994024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17F5A25"/>
    <w:multiLevelType w:val="hybridMultilevel"/>
    <w:tmpl w:val="1EA02BE6"/>
    <w:lvl w:ilvl="0" w:tplc="0CAEEF9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E346C9F"/>
    <w:multiLevelType w:val="hybridMultilevel"/>
    <w:tmpl w:val="D54A2CE0"/>
    <w:lvl w:ilvl="0" w:tplc="EB862438">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EB6482"/>
    <w:multiLevelType w:val="hybridMultilevel"/>
    <w:tmpl w:val="43C65D40"/>
    <w:lvl w:ilvl="0" w:tplc="4D5299FE">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3">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1333EB9"/>
    <w:multiLevelType w:val="hybridMultilevel"/>
    <w:tmpl w:val="3932801C"/>
    <w:lvl w:ilvl="0" w:tplc="1B025E32">
      <w:start w:val="1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nsid w:val="6C2E003D"/>
    <w:multiLevelType w:val="hybridMultilevel"/>
    <w:tmpl w:val="91F2552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D3902F4"/>
    <w:multiLevelType w:val="hybridMultilevel"/>
    <w:tmpl w:val="D5EC640E"/>
    <w:lvl w:ilvl="0" w:tplc="2FCAD482">
      <w:start w:val="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450952"/>
    <w:multiLevelType w:val="hybridMultilevel"/>
    <w:tmpl w:val="6186A844"/>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0B24AB"/>
    <w:multiLevelType w:val="hybridMultilevel"/>
    <w:tmpl w:val="BBC274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20B63E3"/>
    <w:multiLevelType w:val="hybridMultilevel"/>
    <w:tmpl w:val="D7380D76"/>
    <w:lvl w:ilvl="0" w:tplc="BDAC028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E06C18"/>
    <w:multiLevelType w:val="hybridMultilevel"/>
    <w:tmpl w:val="49FCC78E"/>
    <w:lvl w:ilvl="0" w:tplc="0CAEEF92">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8A5DF2"/>
    <w:multiLevelType w:val="hybridMultilevel"/>
    <w:tmpl w:val="BDCA8040"/>
    <w:lvl w:ilvl="0" w:tplc="D5A6D4BA">
      <w:start w:val="3"/>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ED916EF"/>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
  </w:num>
  <w:num w:numId="3">
    <w:abstractNumId w:val="23"/>
  </w:num>
  <w:num w:numId="4">
    <w:abstractNumId w:val="12"/>
  </w:num>
  <w:num w:numId="5">
    <w:abstractNumId w:val="32"/>
  </w:num>
  <w:num w:numId="6">
    <w:abstractNumId w:val="13"/>
  </w:num>
  <w:num w:numId="7">
    <w:abstractNumId w:val="29"/>
  </w:num>
  <w:num w:numId="8">
    <w:abstractNumId w:val="16"/>
  </w:num>
  <w:num w:numId="9">
    <w:abstractNumId w:val="9"/>
  </w:num>
  <w:num w:numId="10">
    <w:abstractNumId w:val="26"/>
  </w:num>
  <w:num w:numId="11">
    <w:abstractNumId w:val="22"/>
  </w:num>
  <w:num w:numId="12">
    <w:abstractNumId w:val="25"/>
  </w:num>
  <w:num w:numId="13">
    <w:abstractNumId w:val="18"/>
  </w:num>
  <w:num w:numId="14">
    <w:abstractNumId w:val="3"/>
  </w:num>
  <w:num w:numId="15">
    <w:abstractNumId w:val="8"/>
  </w:num>
  <w:num w:numId="16">
    <w:abstractNumId w:val="33"/>
  </w:num>
  <w:num w:numId="17">
    <w:abstractNumId w:val="35"/>
  </w:num>
  <w:num w:numId="18">
    <w:abstractNumId w:val="24"/>
  </w:num>
  <w:num w:numId="19">
    <w:abstractNumId w:val="21"/>
  </w:num>
  <w:num w:numId="20">
    <w:abstractNumId w:val="15"/>
  </w:num>
  <w:num w:numId="21">
    <w:abstractNumId w:val="7"/>
  </w:num>
  <w:num w:numId="22">
    <w:abstractNumId w:val="10"/>
  </w:num>
  <w:num w:numId="23">
    <w:abstractNumId w:val="6"/>
  </w:num>
  <w:num w:numId="24">
    <w:abstractNumId w:val="34"/>
  </w:num>
  <w:num w:numId="25">
    <w:abstractNumId w:val="0"/>
  </w:num>
  <w:num w:numId="26">
    <w:abstractNumId w:val="28"/>
  </w:num>
  <w:num w:numId="27">
    <w:abstractNumId w:val="14"/>
  </w:num>
  <w:num w:numId="28">
    <w:abstractNumId w:val="5"/>
  </w:num>
  <w:num w:numId="29">
    <w:abstractNumId w:val="17"/>
  </w:num>
  <w:num w:numId="30">
    <w:abstractNumId w:val="30"/>
  </w:num>
  <w:num w:numId="31">
    <w:abstractNumId w:val="4"/>
  </w:num>
  <w:num w:numId="32">
    <w:abstractNumId w:val="36"/>
  </w:num>
  <w:num w:numId="33">
    <w:abstractNumId w:val="27"/>
  </w:num>
  <w:num w:numId="34">
    <w:abstractNumId w:val="20"/>
  </w:num>
  <w:num w:numId="35">
    <w:abstractNumId w:val="11"/>
  </w:num>
  <w:num w:numId="36">
    <w:abstractNumId w:val="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10A7A"/>
    <w:rsid w:val="00026199"/>
    <w:rsid w:val="0002684D"/>
    <w:rsid w:val="000538F8"/>
    <w:rsid w:val="000C4F36"/>
    <w:rsid w:val="000E72BE"/>
    <w:rsid w:val="000F1029"/>
    <w:rsid w:val="000F4071"/>
    <w:rsid w:val="00137177"/>
    <w:rsid w:val="00142D5E"/>
    <w:rsid w:val="00174AF8"/>
    <w:rsid w:val="00196806"/>
    <w:rsid w:val="001C572F"/>
    <w:rsid w:val="001D585E"/>
    <w:rsid w:val="001F22E8"/>
    <w:rsid w:val="00216608"/>
    <w:rsid w:val="00235DC9"/>
    <w:rsid w:val="00294356"/>
    <w:rsid w:val="002948E5"/>
    <w:rsid w:val="002A5659"/>
    <w:rsid w:val="002B5171"/>
    <w:rsid w:val="002E53BC"/>
    <w:rsid w:val="002F33D7"/>
    <w:rsid w:val="002F4E20"/>
    <w:rsid w:val="00321D82"/>
    <w:rsid w:val="0032572C"/>
    <w:rsid w:val="003319F8"/>
    <w:rsid w:val="0034151E"/>
    <w:rsid w:val="00345562"/>
    <w:rsid w:val="00354FF8"/>
    <w:rsid w:val="0035555A"/>
    <w:rsid w:val="0038702C"/>
    <w:rsid w:val="003D3B5C"/>
    <w:rsid w:val="003D62CE"/>
    <w:rsid w:val="003F1C1E"/>
    <w:rsid w:val="004366D0"/>
    <w:rsid w:val="004646EA"/>
    <w:rsid w:val="004902EA"/>
    <w:rsid w:val="004A69D6"/>
    <w:rsid w:val="004A7256"/>
    <w:rsid w:val="004C224A"/>
    <w:rsid w:val="004C6821"/>
    <w:rsid w:val="004C73FB"/>
    <w:rsid w:val="005024B9"/>
    <w:rsid w:val="00516B40"/>
    <w:rsid w:val="0058108A"/>
    <w:rsid w:val="00585BED"/>
    <w:rsid w:val="005B563A"/>
    <w:rsid w:val="005F738A"/>
    <w:rsid w:val="00610DE4"/>
    <w:rsid w:val="006E7A8B"/>
    <w:rsid w:val="007040A4"/>
    <w:rsid w:val="007428B3"/>
    <w:rsid w:val="00752D72"/>
    <w:rsid w:val="007568D4"/>
    <w:rsid w:val="00774B2D"/>
    <w:rsid w:val="007771A5"/>
    <w:rsid w:val="00786BC1"/>
    <w:rsid w:val="007D5A9C"/>
    <w:rsid w:val="007D6C6D"/>
    <w:rsid w:val="007E2587"/>
    <w:rsid w:val="007F104B"/>
    <w:rsid w:val="007F7D44"/>
    <w:rsid w:val="00812CE6"/>
    <w:rsid w:val="00826E92"/>
    <w:rsid w:val="008327B1"/>
    <w:rsid w:val="00836F58"/>
    <w:rsid w:val="00846DEB"/>
    <w:rsid w:val="00852A70"/>
    <w:rsid w:val="00892C1A"/>
    <w:rsid w:val="00934600"/>
    <w:rsid w:val="00942A1D"/>
    <w:rsid w:val="00964B55"/>
    <w:rsid w:val="00976E4F"/>
    <w:rsid w:val="00992F9E"/>
    <w:rsid w:val="00996D87"/>
    <w:rsid w:val="009A28D2"/>
    <w:rsid w:val="009B6AAE"/>
    <w:rsid w:val="009D37EA"/>
    <w:rsid w:val="00A11153"/>
    <w:rsid w:val="00A23FC2"/>
    <w:rsid w:val="00A35E0E"/>
    <w:rsid w:val="00A4060C"/>
    <w:rsid w:val="00A44948"/>
    <w:rsid w:val="00A50DC3"/>
    <w:rsid w:val="00A72E20"/>
    <w:rsid w:val="00A947EF"/>
    <w:rsid w:val="00AA45BE"/>
    <w:rsid w:val="00AB4CBD"/>
    <w:rsid w:val="00AC07BB"/>
    <w:rsid w:val="00AD4277"/>
    <w:rsid w:val="00AF28B3"/>
    <w:rsid w:val="00B43601"/>
    <w:rsid w:val="00B648EF"/>
    <w:rsid w:val="00B72BF7"/>
    <w:rsid w:val="00B9066B"/>
    <w:rsid w:val="00BC5FB0"/>
    <w:rsid w:val="00BD4B87"/>
    <w:rsid w:val="00BD586B"/>
    <w:rsid w:val="00BE421D"/>
    <w:rsid w:val="00C230CB"/>
    <w:rsid w:val="00C70424"/>
    <w:rsid w:val="00CD5D3B"/>
    <w:rsid w:val="00CD77B9"/>
    <w:rsid w:val="00D12E53"/>
    <w:rsid w:val="00D17E43"/>
    <w:rsid w:val="00D312E7"/>
    <w:rsid w:val="00D31E87"/>
    <w:rsid w:val="00D4328A"/>
    <w:rsid w:val="00D610F3"/>
    <w:rsid w:val="00D62D08"/>
    <w:rsid w:val="00D636BE"/>
    <w:rsid w:val="00D7491C"/>
    <w:rsid w:val="00D75A73"/>
    <w:rsid w:val="00DC559A"/>
    <w:rsid w:val="00E2215E"/>
    <w:rsid w:val="00E432FE"/>
    <w:rsid w:val="00E52153"/>
    <w:rsid w:val="00E6266F"/>
    <w:rsid w:val="00E940EB"/>
    <w:rsid w:val="00E96644"/>
    <w:rsid w:val="00E974FA"/>
    <w:rsid w:val="00EA0FF3"/>
    <w:rsid w:val="00EA43E2"/>
    <w:rsid w:val="00F251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E87"/>
  </w:style>
  <w:style w:type="paragraph" w:styleId="Ttulo1">
    <w:name w:val="heading 1"/>
    <w:basedOn w:val="Normal"/>
    <w:next w:val="Normal"/>
    <w:link w:val="Ttulo1Car"/>
    <w:uiPriority w:val="9"/>
    <w:qFormat/>
    <w:rsid w:val="00C230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C230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F251C2"/>
    <w:pPr>
      <w:tabs>
        <w:tab w:val="left" w:pos="660"/>
        <w:tab w:val="right" w:leader="dot" w:pos="8828"/>
      </w:tabs>
      <w:spacing w:after="100"/>
      <w:ind w:left="426" w:hanging="426"/>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CD5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D3B"/>
    <w:rPr>
      <w:rFonts w:ascii="Segoe UI" w:hAnsi="Segoe UI" w:cs="Segoe UI"/>
      <w:sz w:val="18"/>
      <w:szCs w:val="18"/>
    </w:rPr>
  </w:style>
  <w:style w:type="table" w:styleId="Tablaconcuadrcula">
    <w:name w:val="Table Grid"/>
    <w:basedOn w:val="Tablanormal"/>
    <w:uiPriority w:val="39"/>
    <w:rsid w:val="00D31E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D31E87"/>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D31E87"/>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D31E8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AA99-AC27-4D41-8610-EA6DA68C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6</cp:revision>
  <cp:lastPrinted>2018-12-10T19:47:00Z</cp:lastPrinted>
  <dcterms:created xsi:type="dcterms:W3CDTF">2018-10-29T23:23:00Z</dcterms:created>
  <dcterms:modified xsi:type="dcterms:W3CDTF">2019-01-30T21:24:00Z</dcterms:modified>
</cp:coreProperties>
</file>